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75B0" w14:textId="4362CA61" w:rsidR="00F715E9" w:rsidRDefault="00F715E9" w:rsidP="00F715E9">
      <w:pPr>
        <w:pStyle w:val="NormalWeb"/>
        <w:shd w:val="clear" w:color="auto" w:fill="FFFFFF"/>
      </w:pPr>
      <w:r>
        <w:rPr>
          <w:rFonts w:ascii="Avenir Next LT Pro" w:hAnsi="Avenir Next LT Pro"/>
          <w:noProof/>
          <w:color w:val="000000"/>
        </w:rPr>
        <w:drawing>
          <wp:inline distT="0" distB="0" distL="0" distR="0" wp14:anchorId="5D7C09D3" wp14:editId="385581D6">
            <wp:extent cx="5706745" cy="2185670"/>
            <wp:effectExtent l="0" t="0" r="8255" b="5080"/>
            <wp:docPr id="3952935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06745" cy="2185670"/>
                    </a:xfrm>
                    <a:prstGeom prst="rect">
                      <a:avLst/>
                    </a:prstGeom>
                    <a:noFill/>
                    <a:ln>
                      <a:noFill/>
                    </a:ln>
                  </pic:spPr>
                </pic:pic>
              </a:graphicData>
            </a:graphic>
          </wp:inline>
        </w:drawing>
      </w:r>
    </w:p>
    <w:p w14:paraId="120AB46B" w14:textId="4469F2C8" w:rsidR="00F715E9" w:rsidRDefault="00F715E9" w:rsidP="00F715E9">
      <w:pPr>
        <w:pStyle w:val="NormalWeb"/>
        <w:shd w:val="clear" w:color="auto" w:fill="FFFFFF"/>
      </w:pPr>
      <w:r>
        <w:rPr>
          <w:rFonts w:ascii="Avenir Next LT Pro" w:hAnsi="Avenir Next LT Pro"/>
          <w:color w:val="000000"/>
        </w:rPr>
        <w:br/>
        <w:t>Thank you for continuing your participation in the Hazel McCallion Line’s Construction Liaison Committee. We will be providing our CLC members with a digital update this month (see below)</w:t>
      </w:r>
      <w:r>
        <w:rPr>
          <w:rFonts w:ascii="Avenir Next LT Pro" w:hAnsi="Avenir Next LT Pro"/>
          <w:color w:val="000000"/>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F715E9" w14:paraId="14031BEC" w14:textId="77777777" w:rsidTr="00F715E9">
        <w:trPr>
          <w:trHeight w:val="330"/>
        </w:trPr>
        <w:tc>
          <w:tcPr>
            <w:tcW w:w="21600" w:type="dxa"/>
            <w:tcBorders>
              <w:top w:val="nil"/>
              <w:left w:val="nil"/>
              <w:bottom w:val="single" w:sz="8" w:space="0" w:color="E6E6E6"/>
              <w:right w:val="nil"/>
            </w:tcBorders>
            <w:shd w:val="clear" w:color="auto" w:fill="FFFFFF"/>
            <w:vAlign w:val="center"/>
            <w:hideMark/>
          </w:tcPr>
          <w:p w14:paraId="3FB814CF" w14:textId="4ABBB757" w:rsidR="00F715E9" w:rsidRDefault="00F715E9">
            <w:pPr>
              <w:pStyle w:val="NormalWeb"/>
              <w:rPr>
                <w:color w:val="000000"/>
              </w:rPr>
            </w:pPr>
            <w:r>
              <w:rPr>
                <w:noProof/>
                <w:color w:val="000000"/>
              </w:rPr>
              <w:drawing>
                <wp:inline distT="0" distB="0" distL="0" distR="0" wp14:anchorId="7A91BC4A" wp14:editId="6F026A7A">
                  <wp:extent cx="6350" cy="6350"/>
                  <wp:effectExtent l="0" t="0" r="0" b="0"/>
                  <wp:docPr id="20451343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7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F715E9" w14:paraId="477E261D" w14:textId="77777777" w:rsidTr="00F715E9">
        <w:trPr>
          <w:trHeight w:val="330"/>
        </w:trPr>
        <w:tc>
          <w:tcPr>
            <w:tcW w:w="21600" w:type="dxa"/>
            <w:shd w:val="clear" w:color="auto" w:fill="FFFFFF"/>
            <w:vAlign w:val="center"/>
            <w:hideMark/>
          </w:tcPr>
          <w:p w14:paraId="5652F497" w14:textId="77777777" w:rsidR="00F715E9" w:rsidRDefault="00F715E9">
            <w:pPr>
              <w:rPr>
                <w:color w:val="000000"/>
              </w:rPr>
            </w:pPr>
          </w:p>
        </w:tc>
      </w:tr>
    </w:tbl>
    <w:p w14:paraId="4D88F788" w14:textId="77777777" w:rsidR="00F715E9" w:rsidRDefault="00F715E9" w:rsidP="00F715E9">
      <w:pPr>
        <w:shd w:val="clear" w:color="auto" w:fill="FFFFFF"/>
        <w:rPr>
          <w:rFonts w:ascii="Avenir Next LT Pro" w:hAnsi="Avenir Next LT Pro"/>
          <w:color w:val="000000"/>
          <w:sz w:val="36"/>
          <w:szCs w:val="36"/>
        </w:rPr>
      </w:pPr>
      <w:r>
        <w:rPr>
          <w:rFonts w:ascii="Avenir Next LT Pro" w:hAnsi="Avenir Next LT Pro"/>
          <w:b/>
          <w:bCs/>
          <w:color w:val="000000"/>
          <w:sz w:val="36"/>
          <w:szCs w:val="36"/>
        </w:rPr>
        <w:t>ONGOING and UPCOMING CONSTRUCTION: </w:t>
      </w:r>
    </w:p>
    <w:p w14:paraId="1A8D03CF"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t> </w:t>
      </w:r>
      <w:r>
        <w:rPr>
          <w:rFonts w:ascii="Avenir Next LT Pro" w:hAnsi="Avenir Next LT Pro"/>
          <w:color w:val="000000"/>
        </w:rPr>
        <w:t> </w:t>
      </w:r>
      <w:r>
        <w:rPr>
          <w:rFonts w:ascii="Avenir Next LT Pro" w:hAnsi="Avenir Next LT Pro"/>
          <w:color w:val="000000"/>
        </w:rPr>
        <w:t>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F715E9" w14:paraId="2C18458D" w14:textId="77777777" w:rsidTr="00F715E9">
        <w:trPr>
          <w:trHeight w:val="330"/>
        </w:trPr>
        <w:tc>
          <w:tcPr>
            <w:tcW w:w="21600" w:type="dxa"/>
            <w:tcBorders>
              <w:top w:val="nil"/>
              <w:left w:val="nil"/>
              <w:bottom w:val="single" w:sz="8" w:space="0" w:color="E6E6E6"/>
              <w:right w:val="nil"/>
            </w:tcBorders>
            <w:shd w:val="clear" w:color="auto" w:fill="FFFFFF"/>
            <w:vAlign w:val="center"/>
            <w:hideMark/>
          </w:tcPr>
          <w:p w14:paraId="2ED7E927" w14:textId="29D1A386" w:rsidR="00F715E9" w:rsidRDefault="00F715E9">
            <w:pPr>
              <w:pStyle w:val="NormalWeb"/>
              <w:rPr>
                <w:color w:val="000000"/>
              </w:rPr>
            </w:pPr>
            <w:r>
              <w:rPr>
                <w:noProof/>
                <w:color w:val="000000"/>
              </w:rPr>
              <w:drawing>
                <wp:inline distT="0" distB="0" distL="0" distR="0" wp14:anchorId="43F15E84" wp14:editId="4682FA85">
                  <wp:extent cx="6350" cy="6350"/>
                  <wp:effectExtent l="0" t="0" r="0" b="0"/>
                  <wp:docPr id="1901762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F715E9" w14:paraId="0394F6EC" w14:textId="77777777" w:rsidTr="00F715E9">
        <w:trPr>
          <w:trHeight w:val="330"/>
        </w:trPr>
        <w:tc>
          <w:tcPr>
            <w:tcW w:w="21600" w:type="dxa"/>
            <w:shd w:val="clear" w:color="auto" w:fill="FFFFFF"/>
            <w:vAlign w:val="center"/>
            <w:hideMark/>
          </w:tcPr>
          <w:p w14:paraId="3A30F788" w14:textId="77777777" w:rsidR="00F715E9" w:rsidRDefault="00F715E9">
            <w:pPr>
              <w:rPr>
                <w:color w:val="000000"/>
              </w:rPr>
            </w:pPr>
          </w:p>
        </w:tc>
      </w:tr>
    </w:tbl>
    <w:p w14:paraId="04D17F66" w14:textId="77777777" w:rsidR="00F715E9" w:rsidRDefault="00F715E9" w:rsidP="00F715E9">
      <w:pPr>
        <w:shd w:val="clear" w:color="auto" w:fill="FFFFFF"/>
        <w:rPr>
          <w:rFonts w:ascii="Avenir Next LT Pro" w:hAnsi="Avenir Next LT Pro"/>
          <w:color w:val="000000"/>
        </w:rPr>
      </w:pPr>
    </w:p>
    <w:p w14:paraId="7411205A" w14:textId="77777777" w:rsidR="00F715E9" w:rsidRDefault="00F715E9" w:rsidP="00F715E9">
      <w:pPr>
        <w:shd w:val="clear" w:color="auto" w:fill="FFFFFF"/>
        <w:rPr>
          <w:rFonts w:ascii="Avenir Next LT Pro" w:hAnsi="Avenir Next LT Pro"/>
          <w:color w:val="000000"/>
          <w:sz w:val="36"/>
          <w:szCs w:val="36"/>
        </w:rPr>
      </w:pPr>
      <w:r>
        <w:rPr>
          <w:rFonts w:ascii="Avenir Next LT Pro" w:hAnsi="Avenir Next LT Pro"/>
          <w:b/>
          <w:bCs/>
          <w:color w:val="000000"/>
          <w:sz w:val="36"/>
          <w:szCs w:val="36"/>
        </w:rPr>
        <w:t>Mississauga South</w:t>
      </w:r>
    </w:p>
    <w:p w14:paraId="501314A8" w14:textId="77777777" w:rsidR="00F715E9" w:rsidRDefault="00F715E9" w:rsidP="00F715E9">
      <w:pPr>
        <w:shd w:val="clear" w:color="auto" w:fill="FFFFFF"/>
        <w:rPr>
          <w:rFonts w:ascii="Avenir Next LT Pro" w:hAnsi="Avenir Next LT Pro"/>
          <w:color w:val="000000"/>
        </w:rPr>
      </w:pPr>
    </w:p>
    <w:p w14:paraId="070C4388"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t xml:space="preserve">With underground </w:t>
      </w:r>
      <w:proofErr w:type="spellStart"/>
      <w:r>
        <w:rPr>
          <w:rFonts w:ascii="Avenir Next LT Pro" w:hAnsi="Avenir Next LT Pro"/>
          <w:color w:val="000000"/>
        </w:rPr>
        <w:t>Alectra</w:t>
      </w:r>
      <w:proofErr w:type="spellEnd"/>
      <w:r>
        <w:rPr>
          <w:rFonts w:ascii="Avenir Next LT Pro" w:hAnsi="Avenir Next LT Pro"/>
          <w:color w:val="000000"/>
        </w:rPr>
        <w:t xml:space="preserve"> duct banks already installed up to the meter base at some properties along the west side of Hurontario Street, crews are expected to return in the new year to string the electrical cables through the newly installed duct banks and connect the adjacent properties to upgraded underground electricity. Remaining properties will be connected to the new service aerially in accordance with </w:t>
      </w:r>
      <w:proofErr w:type="spellStart"/>
      <w:r>
        <w:rPr>
          <w:rFonts w:ascii="Avenir Next LT Pro" w:hAnsi="Avenir Next LT Pro"/>
          <w:color w:val="000000"/>
        </w:rPr>
        <w:t>Alectra</w:t>
      </w:r>
      <w:proofErr w:type="spellEnd"/>
      <w:r>
        <w:rPr>
          <w:rFonts w:ascii="Avenir Next LT Pro" w:hAnsi="Avenir Next LT Pro"/>
          <w:color w:val="000000"/>
        </w:rPr>
        <w:t xml:space="preserve"> designs. Brief electrical service disruptions are expected during the power switchover and will be communicated to individual property owners/managers in advance.  </w:t>
      </w:r>
    </w:p>
    <w:p w14:paraId="7C876B5B" w14:textId="77777777" w:rsidR="00F715E9" w:rsidRDefault="00F715E9" w:rsidP="00F715E9">
      <w:pPr>
        <w:shd w:val="clear" w:color="auto" w:fill="FFFFFF"/>
        <w:rPr>
          <w:rFonts w:ascii="Avenir Next LT Pro" w:hAnsi="Avenir Next LT Pro"/>
          <w:color w:val="000000"/>
        </w:rPr>
      </w:pPr>
    </w:p>
    <w:p w14:paraId="722E6FAD"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t xml:space="preserve">As a part of this process, crews will also resume the stringing of aerial </w:t>
      </w:r>
      <w:proofErr w:type="spellStart"/>
      <w:r>
        <w:rPr>
          <w:rFonts w:ascii="Avenir Next LT Pro" w:hAnsi="Avenir Next LT Pro"/>
          <w:color w:val="000000"/>
        </w:rPr>
        <w:t>Alectra</w:t>
      </w:r>
      <w:proofErr w:type="spellEnd"/>
      <w:r>
        <w:rPr>
          <w:rFonts w:ascii="Avenir Next LT Pro" w:hAnsi="Avenir Next LT Pro"/>
          <w:color w:val="000000"/>
        </w:rPr>
        <w:t xml:space="preserve"> cables on the newly installed hydro poles along the east boulevard of Hurontario Street. Individual properties owners/managers impacted by intermittent driveway access closures during these activities will be notified in advance. These are the final steps to have properties along Hurontario in Mississauga South connected to the newly improved, more reliable </w:t>
      </w:r>
      <w:proofErr w:type="spellStart"/>
      <w:r>
        <w:rPr>
          <w:rFonts w:ascii="Avenir Next LT Pro" w:hAnsi="Avenir Next LT Pro"/>
          <w:color w:val="000000"/>
        </w:rPr>
        <w:t>Alectra</w:t>
      </w:r>
      <w:proofErr w:type="spellEnd"/>
      <w:r>
        <w:rPr>
          <w:rFonts w:ascii="Avenir Next LT Pro" w:hAnsi="Avenir Next LT Pro"/>
          <w:color w:val="000000"/>
        </w:rPr>
        <w:t xml:space="preserve"> service.  </w:t>
      </w:r>
    </w:p>
    <w:p w14:paraId="7A7F3628" w14:textId="77777777" w:rsidR="00F715E9" w:rsidRDefault="00F715E9" w:rsidP="00F715E9">
      <w:pPr>
        <w:shd w:val="clear" w:color="auto" w:fill="FFFFFF"/>
        <w:rPr>
          <w:rFonts w:ascii="Avenir Next LT Pro" w:hAnsi="Avenir Next LT Pro"/>
          <w:color w:val="000000"/>
        </w:rPr>
      </w:pPr>
    </w:p>
    <w:p w14:paraId="7D4D9589"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t xml:space="preserve">Road widening and the installation of permanent curbs and sidewalks along the west side of Hurontario Street from Inglewood Drive to Pinetree Way is complete. Driveways for adjacent properties will be intermittently impacted as crews temporarily restore them to match the </w:t>
      </w:r>
      <w:r>
        <w:rPr>
          <w:rFonts w:ascii="Avenir Next LT Pro" w:hAnsi="Avenir Next LT Pro"/>
          <w:color w:val="000000"/>
        </w:rPr>
        <w:lastRenderedPageBreak/>
        <w:t>grade of the recently widened roadway. Permanent driveway restoration and boulevard reinstatement is expected to occur in the new year. In the meantime, crews have begun road widening activities along the east side of Hurontario Street as well as the construction of the new multi-use pathway just south of Mineola Road. Like the road widening activities that took place along the west side, this work involves the removal asphalt, concrete curbs, and sidewalks, followed by excavation, installation of subdrain, curb preparation, concrete pour, and paving. As road widening along the east side progresses towards South Service Road, residents and businesses can expect intermittent and partial driveway closures between 7am and 5pm, Monday through Friday. Specific driveway impacts will be communicated to individual property owners in advance.  </w:t>
      </w:r>
    </w:p>
    <w:p w14:paraId="246EB676" w14:textId="77777777" w:rsidR="00F715E9" w:rsidRDefault="00F715E9" w:rsidP="00F715E9">
      <w:pPr>
        <w:shd w:val="clear" w:color="auto" w:fill="FFFFFF"/>
        <w:rPr>
          <w:rFonts w:ascii="Avenir Next LT Pro" w:hAnsi="Avenir Next LT Pro"/>
          <w:color w:val="000000"/>
        </w:rPr>
      </w:pPr>
    </w:p>
    <w:p w14:paraId="465A92ED"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t>Here’s a snippet of ongoing and upcoming construction activities you can expect for November and December:</w:t>
      </w:r>
    </w:p>
    <w:p w14:paraId="1BC36192" w14:textId="77777777" w:rsidR="00F715E9" w:rsidRDefault="00F715E9" w:rsidP="00F715E9">
      <w:pPr>
        <w:shd w:val="clear" w:color="auto" w:fill="FFFFFF"/>
        <w:rPr>
          <w:rFonts w:ascii="Avenir Next LT Pro" w:hAnsi="Avenir Next LT Pro"/>
          <w:color w:val="000000"/>
        </w:rPr>
      </w:pPr>
    </w:p>
    <w:p w14:paraId="3182DEDA" w14:textId="77777777" w:rsidR="00F715E9" w:rsidRDefault="00F715E9" w:rsidP="00F715E9">
      <w:pPr>
        <w:numPr>
          <w:ilvl w:val="0"/>
          <w:numId w:val="1"/>
        </w:numPr>
        <w:shd w:val="clear" w:color="auto" w:fill="FFFFFF"/>
        <w:spacing w:before="100" w:beforeAutospacing="1" w:after="100" w:afterAutospacing="1"/>
        <w:rPr>
          <w:rFonts w:ascii="Avenir Next LT Pro" w:eastAsia="Times New Roman" w:hAnsi="Avenir Next LT Pro"/>
          <w:color w:val="000000"/>
        </w:rPr>
      </w:pPr>
      <w:r>
        <w:rPr>
          <w:rFonts w:ascii="Avenir Next LT Pro" w:eastAsia="Times New Roman" w:hAnsi="Avenir Next LT Pro"/>
          <w:color w:val="000000"/>
        </w:rPr>
        <w:t xml:space="preserve">At the new QEW underpass, permanent paving connecting the new northbound lanes at the highway ramps with surface asphalt is complete. Final grading, asphalt north and south of the underpass, and lighting within the underpass is expected next. This will be followed by a shift in traffic to safely accommodate new northbound traffic lanes underneath the </w:t>
      </w:r>
      <w:proofErr w:type="gramStart"/>
      <w:r>
        <w:rPr>
          <w:rFonts w:ascii="Avenir Next LT Pro" w:eastAsia="Times New Roman" w:hAnsi="Avenir Next LT Pro"/>
          <w:color w:val="000000"/>
        </w:rPr>
        <w:t>QEW, and</w:t>
      </w:r>
      <w:proofErr w:type="gramEnd"/>
      <w:r>
        <w:rPr>
          <w:rFonts w:ascii="Avenir Next LT Pro" w:eastAsia="Times New Roman" w:hAnsi="Avenir Next LT Pro"/>
          <w:color w:val="000000"/>
        </w:rPr>
        <w:t xml:space="preserve"> allow crews to construct the guideway along the existing northbound lanes underneath the QEW next year.  </w:t>
      </w:r>
    </w:p>
    <w:p w14:paraId="04AC2F9C" w14:textId="77777777" w:rsidR="00F715E9" w:rsidRDefault="00F715E9" w:rsidP="00F715E9">
      <w:pPr>
        <w:numPr>
          <w:ilvl w:val="0"/>
          <w:numId w:val="1"/>
        </w:numPr>
        <w:shd w:val="clear" w:color="auto" w:fill="FFFFFF"/>
        <w:spacing w:before="100" w:beforeAutospacing="1" w:after="100" w:afterAutospacing="1"/>
        <w:rPr>
          <w:rFonts w:ascii="Avenir Next LT Pro" w:eastAsia="Times New Roman" w:hAnsi="Avenir Next LT Pro"/>
          <w:color w:val="000000"/>
        </w:rPr>
      </w:pPr>
      <w:r>
        <w:rPr>
          <w:rFonts w:ascii="Avenir Next LT Pro" w:eastAsia="Times New Roman" w:hAnsi="Avenir Next LT Pro"/>
          <w:color w:val="000000"/>
        </w:rPr>
        <w:t>Two lanes in each direction, north and south along Hurontario Street, have been reinstated Between Mineola and South Service Road to improve traffic flow in the area.</w:t>
      </w:r>
    </w:p>
    <w:p w14:paraId="5CAB220D" w14:textId="77777777" w:rsidR="00F715E9" w:rsidRDefault="00F715E9" w:rsidP="00F715E9">
      <w:pPr>
        <w:numPr>
          <w:ilvl w:val="0"/>
          <w:numId w:val="1"/>
        </w:numPr>
        <w:shd w:val="clear" w:color="auto" w:fill="FFFFFF"/>
        <w:spacing w:before="100" w:beforeAutospacing="1" w:after="100" w:afterAutospacing="1"/>
        <w:rPr>
          <w:rFonts w:ascii="Avenir Next LT Pro" w:eastAsia="Times New Roman" w:hAnsi="Avenir Next LT Pro"/>
          <w:color w:val="000000"/>
        </w:rPr>
      </w:pPr>
      <w:r>
        <w:rPr>
          <w:rFonts w:ascii="Avenir Next LT Pro" w:eastAsia="Times New Roman" w:hAnsi="Avenir Next LT Pro"/>
          <w:color w:val="000000"/>
        </w:rPr>
        <w:t>The new station at Port Credit is progressing nicely. Forming and pouring masonry walls at the street level are complete while mechanical and electrical installation is expected to be completed by the end of this year. Structural steel for canopy fabrication is ongoing as construction of the pedestrian ramp and stairs near completion.  </w:t>
      </w:r>
    </w:p>
    <w:p w14:paraId="2C463746" w14:textId="77777777" w:rsidR="00F715E9" w:rsidRDefault="00F715E9" w:rsidP="00F715E9">
      <w:pPr>
        <w:numPr>
          <w:ilvl w:val="0"/>
          <w:numId w:val="1"/>
        </w:numPr>
        <w:shd w:val="clear" w:color="auto" w:fill="FFFFFF"/>
        <w:spacing w:before="100" w:beforeAutospacing="1" w:after="100" w:afterAutospacing="1"/>
        <w:rPr>
          <w:rFonts w:ascii="Avenir Next LT Pro" w:eastAsia="Times New Roman" w:hAnsi="Avenir Next LT Pro"/>
          <w:color w:val="000000"/>
        </w:rPr>
      </w:pPr>
      <w:r>
        <w:rPr>
          <w:rFonts w:ascii="Avenir Next LT Pro" w:eastAsia="Times New Roman" w:hAnsi="Avenir Next LT Pro"/>
          <w:color w:val="000000"/>
        </w:rPr>
        <w:t>The improvements to storm management at Mary Fix Creek are nearing completion. Flood wall construction is complete along the west side of the channel between Eaglewood Boulevard and Peel Gardens Park. Excavation and installation of footings have begun for construction of the remaining section of floodwall along the east side and is expected to be complete by the end of this year.  </w:t>
      </w:r>
    </w:p>
    <w:p w14:paraId="1CC33726" w14:textId="77777777" w:rsidR="00F715E9" w:rsidRDefault="00F715E9" w:rsidP="00F715E9">
      <w:pPr>
        <w:shd w:val="clear" w:color="auto" w:fill="FFFFFF"/>
        <w:rPr>
          <w:rFonts w:ascii="Avenir Next LT Pro" w:hAnsi="Avenir Next LT Pro"/>
          <w:color w:val="000000"/>
        </w:rPr>
      </w:pPr>
    </w:p>
    <w:tbl>
      <w:tblPr>
        <w:tblW w:w="0" w:type="auto"/>
        <w:shd w:val="clear" w:color="auto" w:fill="FFFFFF"/>
        <w:tblCellMar>
          <w:left w:w="0" w:type="dxa"/>
          <w:right w:w="0" w:type="dxa"/>
        </w:tblCellMar>
        <w:tblLook w:val="04A0" w:firstRow="1" w:lastRow="0" w:firstColumn="1" w:lastColumn="0" w:noHBand="0" w:noVBand="1"/>
      </w:tblPr>
      <w:tblGrid>
        <w:gridCol w:w="9360"/>
      </w:tblGrid>
      <w:tr w:rsidR="00F715E9" w14:paraId="69D659A1" w14:textId="77777777" w:rsidTr="00F715E9">
        <w:trPr>
          <w:trHeight w:val="330"/>
        </w:trPr>
        <w:tc>
          <w:tcPr>
            <w:tcW w:w="21600" w:type="dxa"/>
            <w:tcBorders>
              <w:top w:val="nil"/>
              <w:left w:val="nil"/>
              <w:bottom w:val="single" w:sz="8" w:space="0" w:color="E6E6E6"/>
              <w:right w:val="nil"/>
            </w:tcBorders>
            <w:shd w:val="clear" w:color="auto" w:fill="FFFFFF"/>
            <w:vAlign w:val="center"/>
            <w:hideMark/>
          </w:tcPr>
          <w:p w14:paraId="0827618F" w14:textId="4E713678" w:rsidR="00F715E9" w:rsidRDefault="00F715E9">
            <w:pPr>
              <w:pStyle w:val="NormalWeb"/>
              <w:rPr>
                <w:color w:val="000000"/>
              </w:rPr>
            </w:pPr>
            <w:r>
              <w:rPr>
                <w:noProof/>
                <w:color w:val="000000"/>
              </w:rPr>
              <w:drawing>
                <wp:inline distT="0" distB="0" distL="0" distR="0" wp14:anchorId="1DC3BCB5" wp14:editId="7AA2B11A">
                  <wp:extent cx="6350" cy="6350"/>
                  <wp:effectExtent l="0" t="0" r="0" b="0"/>
                  <wp:docPr id="10425555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F715E9" w14:paraId="3593B074" w14:textId="77777777" w:rsidTr="00F715E9">
        <w:trPr>
          <w:trHeight w:val="474"/>
        </w:trPr>
        <w:tc>
          <w:tcPr>
            <w:tcW w:w="21600" w:type="dxa"/>
            <w:shd w:val="clear" w:color="auto" w:fill="FFFFFF"/>
            <w:vAlign w:val="center"/>
            <w:hideMark/>
          </w:tcPr>
          <w:p w14:paraId="5F39558B" w14:textId="77777777" w:rsidR="00F715E9" w:rsidRDefault="00F715E9">
            <w:pPr>
              <w:rPr>
                <w:color w:val="000000"/>
              </w:rPr>
            </w:pPr>
          </w:p>
        </w:tc>
      </w:tr>
    </w:tbl>
    <w:p w14:paraId="7DE52EC0" w14:textId="77777777" w:rsidR="00F715E9" w:rsidRDefault="00F715E9" w:rsidP="00F715E9">
      <w:pPr>
        <w:shd w:val="clear" w:color="auto" w:fill="FFFFFF"/>
        <w:rPr>
          <w:rFonts w:ascii="Avenir Next LT Pro" w:hAnsi="Avenir Next LT Pro"/>
          <w:color w:val="000000"/>
          <w:sz w:val="36"/>
          <w:szCs w:val="36"/>
        </w:rPr>
      </w:pPr>
      <w:r>
        <w:rPr>
          <w:rFonts w:ascii="Avenir Next LT Pro" w:hAnsi="Avenir Next LT Pro"/>
          <w:b/>
          <w:bCs/>
          <w:color w:val="000000"/>
          <w:sz w:val="36"/>
          <w:szCs w:val="36"/>
        </w:rPr>
        <w:t>Cooksville and Mississauga Centre</w:t>
      </w:r>
    </w:p>
    <w:p w14:paraId="5C3F6912" w14:textId="77777777" w:rsidR="00F715E9" w:rsidRDefault="00F715E9" w:rsidP="00F715E9">
      <w:pPr>
        <w:shd w:val="clear" w:color="auto" w:fill="FFFFFF"/>
        <w:rPr>
          <w:rFonts w:ascii="Avenir Next LT Pro" w:hAnsi="Avenir Next LT Pro"/>
          <w:color w:val="000000"/>
        </w:rPr>
      </w:pPr>
    </w:p>
    <w:p w14:paraId="07AEB1FB"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t>Track works have been installed in new areas including the stretch between Burnhamthorpe and south of Central Parkway. Tracks have also been installed at the Queensway intersection.</w:t>
      </w:r>
    </w:p>
    <w:p w14:paraId="53EEA6E0" w14:textId="77777777" w:rsidR="00F715E9" w:rsidRDefault="00F715E9" w:rsidP="00F715E9">
      <w:pPr>
        <w:shd w:val="clear" w:color="auto" w:fill="FFFFFF"/>
        <w:rPr>
          <w:rFonts w:ascii="Avenir Next LT Pro" w:hAnsi="Avenir Next LT Pro"/>
          <w:color w:val="000000"/>
        </w:rPr>
      </w:pPr>
    </w:p>
    <w:p w14:paraId="0584BE2A"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t>TPSS 5, which will power the trains, has been installed near the Central Parkway intersection.</w:t>
      </w:r>
    </w:p>
    <w:p w14:paraId="507FFC1E" w14:textId="77777777" w:rsidR="00F715E9" w:rsidRDefault="00F715E9" w:rsidP="00F715E9">
      <w:pPr>
        <w:shd w:val="clear" w:color="auto" w:fill="FFFFFF"/>
        <w:rPr>
          <w:rFonts w:ascii="Avenir Next LT Pro" w:hAnsi="Avenir Next LT Pro"/>
          <w:color w:val="000000"/>
        </w:rPr>
      </w:pPr>
    </w:p>
    <w:p w14:paraId="58F7E0D7"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lastRenderedPageBreak/>
        <w:t xml:space="preserve">Road widening works, to accommodate the new LRT, are continuing between </w:t>
      </w:r>
      <w:proofErr w:type="spellStart"/>
      <w:r>
        <w:rPr>
          <w:rFonts w:ascii="Avenir Next LT Pro" w:hAnsi="Avenir Next LT Pro"/>
          <w:color w:val="000000"/>
        </w:rPr>
        <w:t>Harborn</w:t>
      </w:r>
      <w:proofErr w:type="spellEnd"/>
      <w:r>
        <w:rPr>
          <w:rFonts w:ascii="Avenir Next LT Pro" w:hAnsi="Avenir Next LT Pro"/>
          <w:color w:val="000000"/>
        </w:rPr>
        <w:t xml:space="preserve"> Road and Eglinton Avenue.  </w:t>
      </w:r>
    </w:p>
    <w:p w14:paraId="38797F0F" w14:textId="77777777" w:rsidR="00F715E9" w:rsidRDefault="00F715E9" w:rsidP="00F715E9">
      <w:pPr>
        <w:shd w:val="clear" w:color="auto" w:fill="FFFFFF"/>
        <w:rPr>
          <w:rFonts w:ascii="Avenir Next LT Pro" w:hAnsi="Avenir Next LT Pro"/>
          <w:color w:val="000000"/>
        </w:rPr>
      </w:pPr>
    </w:p>
    <w:p w14:paraId="280C2BF5"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t xml:space="preserve">The elevated guideway is currently being erected over Highway 403 and </w:t>
      </w:r>
      <w:proofErr w:type="spellStart"/>
      <w:r>
        <w:rPr>
          <w:rFonts w:ascii="Avenir Next LT Pro" w:hAnsi="Avenir Next LT Pro"/>
          <w:color w:val="000000"/>
        </w:rPr>
        <w:t>and</w:t>
      </w:r>
      <w:proofErr w:type="spellEnd"/>
      <w:r>
        <w:rPr>
          <w:rFonts w:ascii="Avenir Next LT Pro" w:hAnsi="Avenir Next LT Pro"/>
          <w:color w:val="000000"/>
        </w:rPr>
        <w:t xml:space="preserve"> will soon cross over to the northern edge of the highway. Once completed this elevated guideway will ensure the smooth movement of LRT from the transit hub at Square One.   </w:t>
      </w:r>
    </w:p>
    <w:p w14:paraId="75FF10BF" w14:textId="77777777" w:rsidR="00F715E9" w:rsidRDefault="00F715E9" w:rsidP="00F715E9">
      <w:pPr>
        <w:shd w:val="clear" w:color="auto" w:fill="FFFFFF"/>
        <w:rPr>
          <w:rFonts w:ascii="Avenir Next LT Pro" w:hAnsi="Avenir Next LT Pro"/>
          <w:color w:val="000000"/>
        </w:rPr>
      </w:pPr>
    </w:p>
    <w:tbl>
      <w:tblPr>
        <w:tblW w:w="0" w:type="auto"/>
        <w:shd w:val="clear" w:color="auto" w:fill="FFFFFF"/>
        <w:tblCellMar>
          <w:left w:w="0" w:type="dxa"/>
          <w:right w:w="0" w:type="dxa"/>
        </w:tblCellMar>
        <w:tblLook w:val="04A0" w:firstRow="1" w:lastRow="0" w:firstColumn="1" w:lastColumn="0" w:noHBand="0" w:noVBand="1"/>
      </w:tblPr>
      <w:tblGrid>
        <w:gridCol w:w="9360"/>
      </w:tblGrid>
      <w:tr w:rsidR="00F715E9" w14:paraId="0785ECEC" w14:textId="77777777" w:rsidTr="00F715E9">
        <w:trPr>
          <w:trHeight w:val="330"/>
        </w:trPr>
        <w:tc>
          <w:tcPr>
            <w:tcW w:w="21600" w:type="dxa"/>
            <w:tcBorders>
              <w:top w:val="nil"/>
              <w:left w:val="nil"/>
              <w:bottom w:val="single" w:sz="8" w:space="0" w:color="E6E6E6"/>
              <w:right w:val="nil"/>
            </w:tcBorders>
            <w:shd w:val="clear" w:color="auto" w:fill="FFFFFF"/>
            <w:vAlign w:val="center"/>
            <w:hideMark/>
          </w:tcPr>
          <w:p w14:paraId="553258CF" w14:textId="2DE52472" w:rsidR="00F715E9" w:rsidRDefault="00F715E9">
            <w:pPr>
              <w:rPr>
                <w:rFonts w:ascii="Avenir Next LT Pro" w:hAnsi="Avenir Next LT Pro"/>
                <w:color w:val="000000"/>
              </w:rPr>
            </w:pPr>
            <w:r>
              <w:rPr>
                <w:rFonts w:ascii="Avenir Next LT Pro" w:hAnsi="Avenir Next LT Pro"/>
                <w:noProof/>
                <w:color w:val="000000"/>
              </w:rPr>
              <w:drawing>
                <wp:inline distT="0" distB="0" distL="0" distR="0" wp14:anchorId="792B1B8E" wp14:editId="7E08AD16">
                  <wp:extent cx="6350" cy="6350"/>
                  <wp:effectExtent l="0" t="0" r="0" b="0"/>
                  <wp:docPr id="15224295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F715E9" w14:paraId="78738DCC" w14:textId="77777777" w:rsidTr="00F715E9">
        <w:trPr>
          <w:trHeight w:val="474"/>
        </w:trPr>
        <w:tc>
          <w:tcPr>
            <w:tcW w:w="21600" w:type="dxa"/>
            <w:shd w:val="clear" w:color="auto" w:fill="FFFFFF"/>
            <w:vAlign w:val="center"/>
            <w:hideMark/>
          </w:tcPr>
          <w:p w14:paraId="37DEC68B" w14:textId="77777777" w:rsidR="00F715E9" w:rsidRDefault="00F715E9">
            <w:pPr>
              <w:rPr>
                <w:rFonts w:ascii="Avenir Next LT Pro" w:hAnsi="Avenir Next LT Pro"/>
                <w:color w:val="000000"/>
              </w:rPr>
            </w:pPr>
          </w:p>
        </w:tc>
      </w:tr>
    </w:tbl>
    <w:p w14:paraId="0413BA02" w14:textId="77777777" w:rsidR="00F715E9" w:rsidRDefault="00F715E9" w:rsidP="00F715E9">
      <w:pPr>
        <w:shd w:val="clear" w:color="auto" w:fill="FFFFFF"/>
        <w:rPr>
          <w:rFonts w:ascii="Avenir Next LT Pro" w:hAnsi="Avenir Next LT Pro"/>
          <w:color w:val="000000"/>
          <w:sz w:val="36"/>
          <w:szCs w:val="36"/>
        </w:rPr>
      </w:pPr>
      <w:r>
        <w:rPr>
          <w:rFonts w:ascii="Avenir Next LT Pro" w:hAnsi="Avenir Next LT Pro"/>
          <w:b/>
          <w:bCs/>
          <w:color w:val="000000"/>
          <w:sz w:val="36"/>
          <w:szCs w:val="36"/>
        </w:rPr>
        <w:t>Mississauga North &amp; Brampton South</w:t>
      </w:r>
    </w:p>
    <w:p w14:paraId="03D38B9D" w14:textId="77777777" w:rsidR="00F715E9" w:rsidRDefault="00F715E9" w:rsidP="00F715E9">
      <w:pPr>
        <w:shd w:val="clear" w:color="auto" w:fill="FFFFFF"/>
        <w:rPr>
          <w:rFonts w:ascii="Avenir Next LT Pro" w:hAnsi="Avenir Next LT Pro"/>
          <w:color w:val="000000"/>
        </w:rPr>
      </w:pPr>
    </w:p>
    <w:p w14:paraId="659FB1F1"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t xml:space="preserve">North of Eglinton, </w:t>
      </w:r>
      <w:proofErr w:type="gramStart"/>
      <w:r>
        <w:rPr>
          <w:rFonts w:ascii="Avenir Next LT Pro" w:hAnsi="Avenir Next LT Pro"/>
          <w:color w:val="000000"/>
        </w:rPr>
        <w:t>the majority of</w:t>
      </w:r>
      <w:proofErr w:type="gramEnd"/>
      <w:r>
        <w:rPr>
          <w:rFonts w:ascii="Avenir Next LT Pro" w:hAnsi="Avenir Next LT Pro"/>
          <w:color w:val="000000"/>
        </w:rPr>
        <w:t xml:space="preserve"> the work is focused within the guideway of Hurontario Street. Crews continue to install tracks, conduct remedial works as well as installing steel rebar and concrete for LRT station stops.  </w:t>
      </w:r>
    </w:p>
    <w:p w14:paraId="3A7A5553" w14:textId="77777777" w:rsidR="00F715E9" w:rsidRDefault="00F715E9" w:rsidP="00F715E9">
      <w:pPr>
        <w:shd w:val="clear" w:color="auto" w:fill="FFFFFF"/>
        <w:rPr>
          <w:rFonts w:ascii="Avenir Next LT Pro" w:hAnsi="Avenir Next LT Pro"/>
          <w:color w:val="000000"/>
        </w:rPr>
      </w:pPr>
    </w:p>
    <w:p w14:paraId="022824C7"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t xml:space="preserve">Station stop canopies in Mississauga north are currently being installed at </w:t>
      </w:r>
      <w:proofErr w:type="spellStart"/>
      <w:r>
        <w:rPr>
          <w:rFonts w:ascii="Avenir Next LT Pro" w:hAnsi="Avenir Next LT Pro"/>
          <w:color w:val="000000"/>
        </w:rPr>
        <w:t>Courtneypark</w:t>
      </w:r>
      <w:proofErr w:type="spellEnd"/>
      <w:r>
        <w:rPr>
          <w:rFonts w:ascii="Avenir Next LT Pro" w:hAnsi="Avenir Next LT Pro"/>
          <w:color w:val="000000"/>
        </w:rPr>
        <w:t>, Matheson and Bristol.  </w:t>
      </w:r>
    </w:p>
    <w:p w14:paraId="59178EAE" w14:textId="77777777" w:rsidR="00F715E9" w:rsidRDefault="00F715E9" w:rsidP="00F715E9">
      <w:pPr>
        <w:shd w:val="clear" w:color="auto" w:fill="FFFFFF"/>
        <w:rPr>
          <w:rFonts w:ascii="Avenir Next LT Pro" w:hAnsi="Avenir Next LT Pro"/>
          <w:color w:val="000000"/>
        </w:rPr>
      </w:pPr>
    </w:p>
    <w:p w14:paraId="77C97F61"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t>TPSS power generator sites 9-12 have all been energized. TPSS 8 is currently undergoing underground lateral works and to be energized soon.</w:t>
      </w:r>
    </w:p>
    <w:p w14:paraId="082898BD" w14:textId="77777777" w:rsidR="00F715E9" w:rsidRDefault="00F715E9" w:rsidP="00F715E9">
      <w:pPr>
        <w:shd w:val="clear" w:color="auto" w:fill="FFFFFF"/>
        <w:rPr>
          <w:rFonts w:ascii="Avenir Next LT Pro" w:hAnsi="Avenir Next LT Pro"/>
          <w:color w:val="000000"/>
        </w:rPr>
      </w:pPr>
    </w:p>
    <w:p w14:paraId="18783EBD"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t>Other works in the area are minor civil underground utility works such as telecoms cable pulling splicing.</w:t>
      </w:r>
    </w:p>
    <w:p w14:paraId="580B955A" w14:textId="77777777" w:rsidR="00F715E9" w:rsidRDefault="00F715E9" w:rsidP="00F715E9">
      <w:pPr>
        <w:shd w:val="clear" w:color="auto" w:fill="FFFFFF"/>
        <w:rPr>
          <w:rFonts w:ascii="Avenir Next LT Pro" w:hAnsi="Avenir Next LT Pro"/>
          <w:color w:val="000000"/>
        </w:rPr>
      </w:pPr>
    </w:p>
    <w:p w14:paraId="4F6D7C7B"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t>In Brampton the 407-overpass expansion continues with the girder erection on the east side. Installation of the false deck begins early November.</w:t>
      </w:r>
    </w:p>
    <w:p w14:paraId="364D4BE8" w14:textId="77777777" w:rsidR="00F715E9" w:rsidRDefault="00F715E9" w:rsidP="00F715E9">
      <w:pPr>
        <w:shd w:val="clear" w:color="auto" w:fill="FFFFFF"/>
        <w:rPr>
          <w:rFonts w:ascii="Avenir Next LT Pro" w:hAnsi="Avenir Next LT Pro"/>
          <w:color w:val="000000"/>
        </w:rPr>
      </w:pPr>
    </w:p>
    <w:tbl>
      <w:tblPr>
        <w:tblW w:w="0" w:type="auto"/>
        <w:shd w:val="clear" w:color="auto" w:fill="FFFFFF"/>
        <w:tblCellMar>
          <w:left w:w="0" w:type="dxa"/>
          <w:right w:w="0" w:type="dxa"/>
        </w:tblCellMar>
        <w:tblLook w:val="04A0" w:firstRow="1" w:lastRow="0" w:firstColumn="1" w:lastColumn="0" w:noHBand="0" w:noVBand="1"/>
      </w:tblPr>
      <w:tblGrid>
        <w:gridCol w:w="9360"/>
      </w:tblGrid>
      <w:tr w:rsidR="00F715E9" w14:paraId="344B46A9" w14:textId="77777777" w:rsidTr="00F715E9">
        <w:trPr>
          <w:trHeight w:val="330"/>
        </w:trPr>
        <w:tc>
          <w:tcPr>
            <w:tcW w:w="21600" w:type="dxa"/>
            <w:tcBorders>
              <w:top w:val="nil"/>
              <w:left w:val="nil"/>
              <w:bottom w:val="single" w:sz="8" w:space="0" w:color="E6E6E6"/>
              <w:right w:val="nil"/>
            </w:tcBorders>
            <w:shd w:val="clear" w:color="auto" w:fill="FFFFFF"/>
            <w:vAlign w:val="center"/>
            <w:hideMark/>
          </w:tcPr>
          <w:p w14:paraId="4E65D939" w14:textId="2C685764" w:rsidR="00F715E9" w:rsidRDefault="00F715E9">
            <w:pPr>
              <w:rPr>
                <w:rFonts w:ascii="Avenir Next LT Pro" w:hAnsi="Avenir Next LT Pro"/>
                <w:color w:val="000000"/>
              </w:rPr>
            </w:pPr>
            <w:r>
              <w:rPr>
                <w:rFonts w:ascii="Avenir Next LT Pro" w:hAnsi="Avenir Next LT Pro"/>
                <w:noProof/>
                <w:color w:val="000000"/>
              </w:rPr>
              <w:drawing>
                <wp:inline distT="0" distB="0" distL="0" distR="0" wp14:anchorId="05CD1272" wp14:editId="76837690">
                  <wp:extent cx="6350" cy="6350"/>
                  <wp:effectExtent l="0" t="0" r="0" b="0"/>
                  <wp:docPr id="260574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F715E9" w14:paraId="7BF77AA9" w14:textId="77777777" w:rsidTr="00F715E9">
        <w:trPr>
          <w:trHeight w:val="474"/>
        </w:trPr>
        <w:tc>
          <w:tcPr>
            <w:tcW w:w="21600" w:type="dxa"/>
            <w:shd w:val="clear" w:color="auto" w:fill="FFFFFF"/>
            <w:vAlign w:val="center"/>
            <w:hideMark/>
          </w:tcPr>
          <w:p w14:paraId="46E28AE6" w14:textId="77777777" w:rsidR="00F715E9" w:rsidRDefault="00F715E9">
            <w:pPr>
              <w:rPr>
                <w:rFonts w:ascii="Avenir Next LT Pro" w:hAnsi="Avenir Next LT Pro"/>
                <w:color w:val="000000"/>
              </w:rPr>
            </w:pPr>
          </w:p>
        </w:tc>
      </w:tr>
    </w:tbl>
    <w:p w14:paraId="60298ED1" w14:textId="77777777" w:rsidR="00F715E9" w:rsidRDefault="00F715E9" w:rsidP="00F715E9">
      <w:pPr>
        <w:shd w:val="clear" w:color="auto" w:fill="FFFFFF"/>
        <w:rPr>
          <w:rFonts w:ascii="Avenir Next LT Pro" w:hAnsi="Avenir Next LT Pro"/>
          <w:color w:val="000000"/>
          <w:sz w:val="36"/>
          <w:szCs w:val="36"/>
        </w:rPr>
      </w:pPr>
      <w:r>
        <w:rPr>
          <w:rFonts w:ascii="Avenir Next LT Pro" w:hAnsi="Avenir Next LT Pro"/>
          <w:b/>
          <w:bCs/>
          <w:color w:val="000000"/>
          <w:sz w:val="36"/>
          <w:szCs w:val="36"/>
        </w:rPr>
        <w:t>Safety</w:t>
      </w:r>
    </w:p>
    <w:p w14:paraId="3558D7A5" w14:textId="77777777" w:rsidR="00F715E9" w:rsidRDefault="00F715E9" w:rsidP="00F715E9">
      <w:pPr>
        <w:shd w:val="clear" w:color="auto" w:fill="FFFFFF"/>
        <w:rPr>
          <w:rFonts w:ascii="Avenir Next LT Pro" w:hAnsi="Avenir Next LT Pro"/>
          <w:color w:val="000000"/>
        </w:rPr>
      </w:pPr>
    </w:p>
    <w:p w14:paraId="2C55A81D"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t xml:space="preserve">Safety is our number one priority and a shared responsibility. Please note and follow construction signage as you walk, </w:t>
      </w:r>
      <w:proofErr w:type="gramStart"/>
      <w:r>
        <w:rPr>
          <w:rFonts w:ascii="Avenir Next LT Pro" w:hAnsi="Avenir Next LT Pro"/>
          <w:color w:val="000000"/>
        </w:rPr>
        <w:t>cycle</w:t>
      </w:r>
      <w:proofErr w:type="gramEnd"/>
      <w:r>
        <w:rPr>
          <w:rFonts w:ascii="Avenir Next LT Pro" w:hAnsi="Avenir Next LT Pro"/>
          <w:color w:val="000000"/>
        </w:rPr>
        <w:t xml:space="preserve"> or drive along Hurontario Street. Pedestrians are advised to only cross at signalized intersections and always walk on designated pathways.  </w:t>
      </w:r>
    </w:p>
    <w:p w14:paraId="6D1F2BD6" w14:textId="77777777" w:rsidR="00F715E9" w:rsidRDefault="00F715E9" w:rsidP="00F715E9">
      <w:pPr>
        <w:shd w:val="clear" w:color="auto" w:fill="FFFFFF"/>
        <w:rPr>
          <w:rFonts w:ascii="Avenir Next LT Pro" w:hAnsi="Avenir Next LT Pro"/>
          <w:color w:val="000000"/>
        </w:rPr>
      </w:pPr>
    </w:p>
    <w:tbl>
      <w:tblPr>
        <w:tblW w:w="0" w:type="auto"/>
        <w:shd w:val="clear" w:color="auto" w:fill="FFFFFF"/>
        <w:tblCellMar>
          <w:left w:w="0" w:type="dxa"/>
          <w:right w:w="0" w:type="dxa"/>
        </w:tblCellMar>
        <w:tblLook w:val="04A0" w:firstRow="1" w:lastRow="0" w:firstColumn="1" w:lastColumn="0" w:noHBand="0" w:noVBand="1"/>
      </w:tblPr>
      <w:tblGrid>
        <w:gridCol w:w="9360"/>
      </w:tblGrid>
      <w:tr w:rsidR="00F715E9" w14:paraId="6DB60375" w14:textId="77777777" w:rsidTr="00F715E9">
        <w:trPr>
          <w:trHeight w:val="330"/>
        </w:trPr>
        <w:tc>
          <w:tcPr>
            <w:tcW w:w="21600" w:type="dxa"/>
            <w:tcBorders>
              <w:top w:val="nil"/>
              <w:left w:val="nil"/>
              <w:bottom w:val="single" w:sz="8" w:space="0" w:color="E6E6E6"/>
              <w:right w:val="nil"/>
            </w:tcBorders>
            <w:shd w:val="clear" w:color="auto" w:fill="FFFFFF"/>
            <w:vAlign w:val="center"/>
            <w:hideMark/>
          </w:tcPr>
          <w:p w14:paraId="5FE19FA2" w14:textId="7FD6BB86" w:rsidR="00F715E9" w:rsidRDefault="00F715E9">
            <w:pPr>
              <w:rPr>
                <w:rFonts w:ascii="Avenir Next LT Pro" w:hAnsi="Avenir Next LT Pro"/>
                <w:color w:val="000000"/>
              </w:rPr>
            </w:pPr>
            <w:r>
              <w:rPr>
                <w:rFonts w:ascii="Avenir Next LT Pro" w:hAnsi="Avenir Next LT Pro"/>
                <w:noProof/>
                <w:color w:val="000000"/>
              </w:rPr>
              <w:drawing>
                <wp:inline distT="0" distB="0" distL="0" distR="0" wp14:anchorId="27495CA2" wp14:editId="78B982AA">
                  <wp:extent cx="6350" cy="6350"/>
                  <wp:effectExtent l="0" t="0" r="0" b="0"/>
                  <wp:docPr id="1193919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F715E9" w14:paraId="3D6C61A3" w14:textId="77777777" w:rsidTr="00F715E9">
        <w:trPr>
          <w:trHeight w:val="474"/>
        </w:trPr>
        <w:tc>
          <w:tcPr>
            <w:tcW w:w="21600" w:type="dxa"/>
            <w:shd w:val="clear" w:color="auto" w:fill="FFFFFF"/>
            <w:vAlign w:val="center"/>
            <w:hideMark/>
          </w:tcPr>
          <w:p w14:paraId="7AAF9823" w14:textId="77777777" w:rsidR="00F715E9" w:rsidRDefault="00F715E9">
            <w:pPr>
              <w:rPr>
                <w:rFonts w:ascii="Avenir Next LT Pro" w:hAnsi="Avenir Next LT Pro"/>
                <w:color w:val="000000"/>
              </w:rPr>
            </w:pPr>
          </w:p>
        </w:tc>
      </w:tr>
    </w:tbl>
    <w:p w14:paraId="01EA8BDA" w14:textId="77777777" w:rsidR="00F715E9" w:rsidRDefault="00F715E9" w:rsidP="00F715E9">
      <w:pPr>
        <w:shd w:val="clear" w:color="auto" w:fill="FFFFFF"/>
        <w:rPr>
          <w:rFonts w:ascii="Avenir Next LT Pro" w:hAnsi="Avenir Next LT Pro"/>
          <w:color w:val="000000"/>
          <w:sz w:val="36"/>
          <w:szCs w:val="36"/>
        </w:rPr>
      </w:pPr>
      <w:r>
        <w:rPr>
          <w:rFonts w:ascii="Avenir Next LT Pro" w:hAnsi="Avenir Next LT Pro"/>
          <w:b/>
          <w:bCs/>
          <w:color w:val="000000"/>
          <w:sz w:val="36"/>
          <w:szCs w:val="36"/>
        </w:rPr>
        <w:t>Contact Us</w:t>
      </w:r>
    </w:p>
    <w:p w14:paraId="1E03D14F" w14:textId="77777777" w:rsidR="00F715E9" w:rsidRDefault="00F715E9" w:rsidP="00F715E9">
      <w:pPr>
        <w:shd w:val="clear" w:color="auto" w:fill="FFFFFF"/>
        <w:rPr>
          <w:rFonts w:ascii="Avenir Next LT Pro" w:hAnsi="Avenir Next LT Pro"/>
          <w:color w:val="000000"/>
        </w:rPr>
      </w:pPr>
    </w:p>
    <w:p w14:paraId="13819680"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t xml:space="preserve">If you have any questions or concerns, please feel free to reach out to Metrolinx Community Relations team at 416-202-7500 or email us at </w:t>
      </w:r>
      <w:hyperlink r:id="rId9" w:history="1">
        <w:r>
          <w:rPr>
            <w:rStyle w:val="Hyperlink"/>
            <w:rFonts w:ascii="Avenir Next LT Pro" w:hAnsi="Avenir Next LT Pro"/>
          </w:rPr>
          <w:t>Peel@metrolinx.com</w:t>
        </w:r>
      </w:hyperlink>
      <w:r>
        <w:rPr>
          <w:rFonts w:ascii="Avenir Next LT Pro" w:hAnsi="Avenir Next LT Pro"/>
          <w:color w:val="000000"/>
        </w:rPr>
        <w:t>.</w:t>
      </w:r>
    </w:p>
    <w:p w14:paraId="6D776BF6" w14:textId="77777777" w:rsidR="00F715E9" w:rsidRDefault="00F715E9" w:rsidP="00F715E9">
      <w:pPr>
        <w:shd w:val="clear" w:color="auto" w:fill="FFFFFF"/>
        <w:rPr>
          <w:rFonts w:ascii="Avenir Next LT Pro" w:hAnsi="Avenir Next LT Pro"/>
          <w:color w:val="000000"/>
        </w:rPr>
      </w:pPr>
    </w:p>
    <w:p w14:paraId="1975B6CD" w14:textId="77777777" w:rsidR="00F715E9" w:rsidRDefault="00F715E9" w:rsidP="00F715E9">
      <w:pPr>
        <w:shd w:val="clear" w:color="auto" w:fill="FFFFFF"/>
        <w:rPr>
          <w:rFonts w:ascii="Avenir Next LT Pro" w:hAnsi="Avenir Next LT Pro"/>
          <w:color w:val="000000"/>
        </w:rPr>
      </w:pPr>
      <w:r>
        <w:rPr>
          <w:rFonts w:ascii="Avenir Next LT Pro" w:hAnsi="Avenir Next LT Pro"/>
          <w:color w:val="000000"/>
        </w:rPr>
        <w:lastRenderedPageBreak/>
        <w:t xml:space="preserve">For more updates and information on this project, and to get the latest news on what’s happening in Peel, </w:t>
      </w:r>
      <w:hyperlink r:id="rId10" w:tooltip="https://www.metrolinx.com/en/subscribe-to-emails" w:history="1">
        <w:r>
          <w:rPr>
            <w:rStyle w:val="Hyperlink"/>
            <w:rFonts w:ascii="Avenir Next LT Pro" w:hAnsi="Avenir Next LT Pro"/>
          </w:rPr>
          <w:t>subscribe to our newsletter</w:t>
        </w:r>
      </w:hyperlink>
      <w:r>
        <w:rPr>
          <w:rFonts w:ascii="Avenir Next LT Pro" w:hAnsi="Avenir Next LT Pro"/>
          <w:color w:val="000000"/>
        </w:rPr>
        <w:t>!</w:t>
      </w:r>
    </w:p>
    <w:p w14:paraId="53F2A8D1" w14:textId="77777777" w:rsidR="00F715E9" w:rsidRDefault="00F715E9" w:rsidP="00F715E9"/>
    <w:p w14:paraId="44F65BE1" w14:textId="77777777" w:rsidR="00BF6296" w:rsidRDefault="00BF6296"/>
    <w:sectPr w:rsidR="00BF62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C5095"/>
    <w:multiLevelType w:val="multilevel"/>
    <w:tmpl w:val="45CCF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3158724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E9"/>
    <w:rsid w:val="00BF6296"/>
    <w:rsid w:val="00F71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E87D"/>
  <w15:chartTrackingRefBased/>
  <w15:docId w15:val="{63DFE29D-D21B-4E2D-9D14-905734FE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E9"/>
    <w:pPr>
      <w:spacing w:after="0" w:line="240" w:lineRule="auto"/>
    </w:pPr>
    <w:rPr>
      <w:rFonts w:ascii="Calibri" w:hAnsi="Calibri" w:cs="Calibri"/>
      <w:kern w:val="0"/>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15E9"/>
    <w:rPr>
      <w:color w:val="0563C1"/>
      <w:u w:val="single"/>
    </w:rPr>
  </w:style>
  <w:style w:type="paragraph" w:styleId="NormalWeb">
    <w:name w:val="Normal (Web)"/>
    <w:basedOn w:val="Normal"/>
    <w:uiPriority w:val="99"/>
    <w:semiHidden/>
    <w:unhideWhenUsed/>
    <w:rsid w:val="00F715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40B9.6BE4B64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B40B9.6BE4B64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an01.safelinks.protection.outlook.com/?url=https%3A%2F%2Fwww.metrolinx.com%2Fen%2Fsubscribe-to-emails&amp;data=05%7C02%7CZeelaf.Fatima%40metrolinx.com%7C1105ff58a05e4ce5753508dd0e4aa039%7C191b00eaedcc406c8456dc29abc0f10f%7C0%7C0%7C638682435861027270%7CUnknown%7CTWFpbGZsb3d8eyJFbXB0eU1hcGkiOnRydWUsIlYiOiIwLjAuMDAwMCIsIlAiOiJXaW4zMiIsIkFOIjoiTWFpbCIsIldUIjoyfQ%3D%3D%7C0%7C%7C%7C&amp;sdata=ewDfpUg1WKq2oZntERmWNKx01j8X%2FTeLrgCTxhrrOPk%3D&amp;reserved=0" TargetMode="External"/><Relationship Id="rId4" Type="http://schemas.openxmlformats.org/officeDocument/2006/relationships/webSettings" Target="webSettings.xml"/><Relationship Id="rId9" Type="http://schemas.openxmlformats.org/officeDocument/2006/relationships/hyperlink" Target="mailto:Peel@metrolin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Cvetkova</dc:creator>
  <cp:keywords/>
  <dc:description/>
  <cp:lastModifiedBy>Marija Cvetkova</cp:lastModifiedBy>
  <cp:revision>1</cp:revision>
  <dcterms:created xsi:type="dcterms:W3CDTF">2024-11-27T18:15:00Z</dcterms:created>
  <dcterms:modified xsi:type="dcterms:W3CDTF">2024-11-27T18:15:00Z</dcterms:modified>
</cp:coreProperties>
</file>