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2F7F" w14:textId="77777777" w:rsidR="00023F99" w:rsidRDefault="00523346">
      <w:pPr>
        <w:ind w:left="5160"/>
        <w:rPr>
          <w:rFonts w:ascii="Times New Roman"/>
          <w:sz w:val="20"/>
        </w:rPr>
      </w:pPr>
      <w:r>
        <w:rPr>
          <w:rFonts w:ascii="Times New Roman"/>
          <w:noProof/>
          <w:sz w:val="20"/>
          <w:lang w:val="fr-CA"/>
        </w:rPr>
        <w:drawing>
          <wp:inline distT="0" distB="0" distL="0" distR="0" wp14:anchorId="723EDBF1" wp14:editId="4180EB42">
            <wp:extent cx="2814622" cy="561022"/>
            <wp:effectExtent l="0" t="0" r="0" b="0"/>
            <wp:docPr id="1" name="Image 1" descr="Marque de Metrolinx - An agency of the Government of Ontario"/>
            <wp:cNvGraphicFramePr/>
            <a:graphic xmlns:a="http://schemas.openxmlformats.org/drawingml/2006/main">
              <a:graphicData uri="http://schemas.openxmlformats.org/drawingml/2006/picture">
                <pic:pic xmlns:pic="http://schemas.openxmlformats.org/drawingml/2006/picture">
                  <pic:nvPicPr>
                    <pic:cNvPr id="1" name="Image 1" descr="Marque de Metrolinx - An agency of the Government of Ontario"/>
                    <pic:cNvPicPr/>
                  </pic:nvPicPr>
                  <pic:blipFill>
                    <a:blip r:embed="rId11" cstate="print"/>
                    <a:stretch>
                      <a:fillRect/>
                    </a:stretch>
                  </pic:blipFill>
                  <pic:spPr>
                    <a:xfrm>
                      <a:off x="0" y="0"/>
                      <a:ext cx="2814622" cy="561022"/>
                    </a:xfrm>
                    <a:prstGeom prst="rect">
                      <a:avLst/>
                    </a:prstGeom>
                  </pic:spPr>
                </pic:pic>
              </a:graphicData>
            </a:graphic>
          </wp:inline>
        </w:drawing>
      </w:r>
    </w:p>
    <w:p w14:paraId="51EC634C" w14:textId="3BF92F5E" w:rsidR="00023F99" w:rsidRPr="00711571" w:rsidRDefault="00523346" w:rsidP="00A01C08">
      <w:pPr>
        <w:pStyle w:val="Heading1"/>
        <w:spacing w:before="2880"/>
        <w:ind w:right="1080"/>
        <w:jc w:val="center"/>
        <w:rPr>
          <w:lang w:val="fr-FR"/>
        </w:rPr>
      </w:pPr>
      <w:bookmarkStart w:id="0" w:name="_Toc229051993"/>
      <w:r>
        <w:rPr>
          <w:lang w:val="fr-CA"/>
        </w:rPr>
        <w:t>Politique d’accessibilité de Metrolinx</w:t>
      </w:r>
      <w:r w:rsidR="00FA59F1">
        <w:rPr>
          <w:lang w:val="fr-CA"/>
        </w:rPr>
        <w:t xml:space="preserve"> </w:t>
      </w:r>
      <w:r w:rsidR="006D41B2">
        <w:rPr>
          <w:lang w:val="fr-CA"/>
        </w:rPr>
        <w:br/>
      </w:r>
      <w:r>
        <w:rPr>
          <w:lang w:val="fr-CA"/>
        </w:rPr>
        <w:t xml:space="preserve">pour la mise en œuvre de la </w:t>
      </w:r>
      <w:r>
        <w:rPr>
          <w:i/>
          <w:iCs/>
          <w:lang w:val="fr-CA"/>
        </w:rPr>
        <w:t xml:space="preserve">Loi de 2005 sur </w:t>
      </w:r>
      <w:r w:rsidR="00A71EAB">
        <w:rPr>
          <w:i/>
          <w:iCs/>
          <w:lang w:val="fr-CA"/>
        </w:rPr>
        <w:br/>
      </w:r>
      <w:r>
        <w:rPr>
          <w:i/>
          <w:iCs/>
          <w:lang w:val="fr-CA"/>
        </w:rPr>
        <w:t xml:space="preserve">l’accessibilité pour les personnes handicapées </w:t>
      </w:r>
      <w:r w:rsidR="005B79F6">
        <w:rPr>
          <w:i/>
          <w:iCs/>
          <w:lang w:val="fr-CA"/>
        </w:rPr>
        <w:br/>
      </w:r>
      <w:r>
        <w:rPr>
          <w:i/>
          <w:iCs/>
          <w:lang w:val="fr-CA"/>
        </w:rPr>
        <w:t xml:space="preserve">de l’Ontario </w:t>
      </w:r>
      <w:r>
        <w:rPr>
          <w:lang w:val="fr-CA"/>
        </w:rPr>
        <w:t>(LAPHO)</w:t>
      </w:r>
      <w:bookmarkEnd w:id="0"/>
    </w:p>
    <w:p w14:paraId="625AA8D3" w14:textId="77777777" w:rsidR="00023F99" w:rsidRPr="006E0392" w:rsidRDefault="00523346" w:rsidP="00E84496">
      <w:pPr>
        <w:pStyle w:val="BodyText"/>
        <w:spacing w:before="5280"/>
        <w:ind w:left="1080"/>
        <w:rPr>
          <w:lang w:val="fr-FR"/>
        </w:rPr>
      </w:pPr>
      <w:r>
        <w:rPr>
          <w:lang w:val="fr-CA"/>
        </w:rPr>
        <w:t>Décembre 2012, révisé le 2 juillet 2013</w:t>
      </w:r>
    </w:p>
    <w:p w14:paraId="4B0B868F" w14:textId="77777777" w:rsidR="00023F99" w:rsidRPr="006E0392" w:rsidRDefault="00023F99">
      <w:pPr>
        <w:pStyle w:val="BodyText"/>
        <w:rPr>
          <w:lang w:val="fr-FR"/>
        </w:rPr>
        <w:sectPr w:rsidR="00023F99" w:rsidRPr="006E0392">
          <w:type w:val="continuous"/>
          <w:pgSz w:w="12240" w:h="15840"/>
          <w:pgMar w:top="1440" w:right="720" w:bottom="280" w:left="1440" w:header="708" w:footer="708" w:gutter="0"/>
          <w:cols w:space="708"/>
        </w:sectPr>
      </w:pPr>
    </w:p>
    <w:p w14:paraId="7802F6F2" w14:textId="77777777" w:rsidR="00023F99" w:rsidRPr="000C5D0F" w:rsidRDefault="00523346" w:rsidP="00E6409F">
      <w:pPr>
        <w:pStyle w:val="Heading2"/>
        <w:spacing w:before="480"/>
        <w:ind w:left="435" w:hanging="76"/>
        <w:rPr>
          <w:rFonts w:asciiTheme="majorHAnsi" w:hAnsiTheme="majorHAnsi"/>
          <w:color w:val="365F91"/>
          <w:sz w:val="36"/>
          <w:szCs w:val="36"/>
          <w:lang w:val="fr-FR"/>
        </w:rPr>
      </w:pPr>
      <w:bookmarkStart w:id="1" w:name="_Toc229051994"/>
      <w:bookmarkStart w:id="2" w:name="_Toc229052480"/>
      <w:bookmarkStart w:id="3" w:name="_Toc229053120"/>
      <w:bookmarkStart w:id="4" w:name="_Toc229053508"/>
      <w:r w:rsidRPr="000C5D0F">
        <w:rPr>
          <w:rFonts w:asciiTheme="majorHAnsi" w:hAnsiTheme="majorHAnsi"/>
          <w:color w:val="365F91"/>
          <w:sz w:val="36"/>
          <w:szCs w:val="36"/>
          <w:lang w:val="fr-CA"/>
        </w:rPr>
        <w:lastRenderedPageBreak/>
        <w:t>Table des matières</w:t>
      </w:r>
      <w:bookmarkEnd w:id="1"/>
      <w:bookmarkEnd w:id="2"/>
      <w:bookmarkEnd w:id="3"/>
      <w:bookmarkEnd w:id="4"/>
    </w:p>
    <w:p w14:paraId="24C88E7D" w14:textId="77777777" w:rsidR="00023F99" w:rsidRPr="006E0392" w:rsidRDefault="00023F99">
      <w:pPr>
        <w:rPr>
          <w:rFonts w:ascii="Cambria"/>
          <w:b/>
          <w:sz w:val="36"/>
          <w:lang w:val="fr-FR"/>
        </w:rPr>
        <w:sectPr w:rsidR="00023F99" w:rsidRPr="006E0392">
          <w:pgSz w:w="12240" w:h="15840"/>
          <w:pgMar w:top="1820" w:right="720" w:bottom="1651" w:left="1440" w:header="708" w:footer="708" w:gutter="0"/>
          <w:cols w:space="708"/>
        </w:sectPr>
      </w:pPr>
    </w:p>
    <w:sdt>
      <w:sdtPr>
        <w:rPr>
          <w:rFonts w:asciiTheme="majorHAnsi" w:eastAsiaTheme="majorEastAsia" w:hAnsiTheme="majorHAnsi" w:cstheme="majorBidi"/>
          <w:b w:val="0"/>
          <w:bCs w:val="0"/>
          <w:color w:val="365F91" w:themeColor="accent1" w:themeShade="BF"/>
          <w:sz w:val="32"/>
          <w:szCs w:val="32"/>
        </w:rPr>
        <w:id w:val="-1195230133"/>
        <w:docPartObj>
          <w:docPartGallery w:val="Table of Contents"/>
          <w:docPartUnique/>
        </w:docPartObj>
      </w:sdtPr>
      <w:sdtEndPr>
        <w:rPr>
          <w:noProof/>
        </w:rPr>
      </w:sdtEndPr>
      <w:sdtContent>
        <w:p w14:paraId="60E605B5" w14:textId="11BB2CBB" w:rsidR="002052DC" w:rsidRDefault="001D4B6D" w:rsidP="002052DC">
          <w:pPr>
            <w:pStyle w:val="TOC2"/>
            <w:tabs>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r>
            <w:fldChar w:fldCharType="begin"/>
          </w:r>
          <w:r>
            <w:instrText xml:space="preserve"> TOC \o "2-4" \h \z \u </w:instrText>
          </w:r>
          <w:r>
            <w:fldChar w:fldCharType="separate"/>
          </w:r>
          <w:hyperlink w:anchor="_Toc229053509" w:history="1">
            <w:r w:rsidR="002052DC" w:rsidRPr="00F66D62">
              <w:rPr>
                <w:rStyle w:val="Hyperlink"/>
                <w:noProof/>
                <w:w w:val="91"/>
              </w:rPr>
              <w:t>1.</w:t>
            </w:r>
            <w:r w:rsidR="002052DC">
              <w:rPr>
                <w:rFonts w:asciiTheme="minorHAnsi" w:eastAsiaTheme="minorEastAsia" w:hAnsiTheme="minorHAnsi" w:cstheme="minorBidi"/>
                <w:b w:val="0"/>
                <w:bCs w:val="0"/>
                <w:noProof/>
                <w:kern w:val="2"/>
                <w:sz w:val="24"/>
                <w:szCs w:val="24"/>
                <w:lang w:val="en-CA" w:eastAsia="en-CA" w:bidi="pa-IN"/>
                <w14:ligatures w14:val="standardContextual"/>
              </w:rPr>
              <w:tab/>
            </w:r>
            <w:r w:rsidR="002052DC" w:rsidRPr="00F66D62">
              <w:rPr>
                <w:rStyle w:val="Hyperlink"/>
                <w:noProof/>
                <w:lang w:val="fr-CA"/>
              </w:rPr>
              <w:t>Contexte</w:t>
            </w:r>
            <w:r w:rsidR="002052DC">
              <w:rPr>
                <w:noProof/>
                <w:webHidden/>
              </w:rPr>
              <w:tab/>
            </w:r>
            <w:r w:rsidR="002052DC">
              <w:rPr>
                <w:noProof/>
                <w:webHidden/>
              </w:rPr>
              <w:fldChar w:fldCharType="begin"/>
            </w:r>
            <w:r w:rsidR="002052DC">
              <w:rPr>
                <w:noProof/>
                <w:webHidden/>
              </w:rPr>
              <w:instrText xml:space="preserve"> PAGEREF _Toc229053509 \h </w:instrText>
            </w:r>
            <w:r w:rsidR="002052DC">
              <w:rPr>
                <w:noProof/>
                <w:webHidden/>
              </w:rPr>
            </w:r>
            <w:r w:rsidR="002052DC">
              <w:rPr>
                <w:noProof/>
                <w:webHidden/>
              </w:rPr>
              <w:fldChar w:fldCharType="separate"/>
            </w:r>
            <w:r w:rsidR="002052DC">
              <w:rPr>
                <w:noProof/>
                <w:webHidden/>
              </w:rPr>
              <w:t>4</w:t>
            </w:r>
            <w:r w:rsidR="002052DC">
              <w:rPr>
                <w:noProof/>
                <w:webHidden/>
              </w:rPr>
              <w:fldChar w:fldCharType="end"/>
            </w:r>
          </w:hyperlink>
        </w:p>
        <w:p w14:paraId="7375E50A" w14:textId="2F3EE4AC" w:rsidR="002052DC" w:rsidRDefault="002052DC">
          <w:pPr>
            <w:pStyle w:val="TOC2"/>
            <w:tabs>
              <w:tab w:val="left" w:pos="1474"/>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hyperlink w:anchor="_Toc229053510" w:history="1">
            <w:r w:rsidRPr="00F66D62">
              <w:rPr>
                <w:rStyle w:val="Hyperlink"/>
                <w:noProof/>
                <w:w w:val="91"/>
              </w:rPr>
              <w:t>2.</w:t>
            </w:r>
            <w:r>
              <w:rPr>
                <w:rFonts w:asciiTheme="minorHAnsi" w:eastAsiaTheme="minorEastAsia" w:hAnsiTheme="minorHAnsi" w:cstheme="minorBidi"/>
                <w:b w:val="0"/>
                <w:bCs w:val="0"/>
                <w:noProof/>
                <w:kern w:val="2"/>
                <w:sz w:val="24"/>
                <w:szCs w:val="24"/>
                <w:lang w:val="en-CA" w:eastAsia="en-CA" w:bidi="pa-IN"/>
                <w14:ligatures w14:val="standardContextual"/>
              </w:rPr>
              <w:tab/>
            </w:r>
            <w:r w:rsidRPr="00F66D62">
              <w:rPr>
                <w:rStyle w:val="Hyperlink"/>
                <w:noProof/>
                <w:lang w:val="fr-CA"/>
              </w:rPr>
              <w:t>Application</w:t>
            </w:r>
            <w:r>
              <w:rPr>
                <w:noProof/>
                <w:webHidden/>
              </w:rPr>
              <w:tab/>
            </w:r>
            <w:r>
              <w:rPr>
                <w:noProof/>
                <w:webHidden/>
              </w:rPr>
              <w:fldChar w:fldCharType="begin"/>
            </w:r>
            <w:r>
              <w:rPr>
                <w:noProof/>
                <w:webHidden/>
              </w:rPr>
              <w:instrText xml:space="preserve"> PAGEREF _Toc229053510 \h </w:instrText>
            </w:r>
            <w:r>
              <w:rPr>
                <w:noProof/>
                <w:webHidden/>
              </w:rPr>
            </w:r>
            <w:r>
              <w:rPr>
                <w:noProof/>
                <w:webHidden/>
              </w:rPr>
              <w:fldChar w:fldCharType="separate"/>
            </w:r>
            <w:r>
              <w:rPr>
                <w:noProof/>
                <w:webHidden/>
              </w:rPr>
              <w:t>5</w:t>
            </w:r>
            <w:r>
              <w:rPr>
                <w:noProof/>
                <w:webHidden/>
              </w:rPr>
              <w:fldChar w:fldCharType="end"/>
            </w:r>
          </w:hyperlink>
        </w:p>
        <w:p w14:paraId="0CE0AD3E" w14:textId="53A547B5" w:rsidR="002052DC" w:rsidRDefault="002052DC">
          <w:pPr>
            <w:pStyle w:val="TOC2"/>
            <w:tabs>
              <w:tab w:val="left" w:pos="1474"/>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hyperlink w:anchor="_Toc229053511" w:history="1">
            <w:r w:rsidRPr="00F66D62">
              <w:rPr>
                <w:rStyle w:val="Hyperlink"/>
                <w:noProof/>
                <w:w w:val="91"/>
              </w:rPr>
              <w:t>3.</w:t>
            </w:r>
            <w:r>
              <w:rPr>
                <w:rFonts w:asciiTheme="minorHAnsi" w:eastAsiaTheme="minorEastAsia" w:hAnsiTheme="minorHAnsi" w:cstheme="minorBidi"/>
                <w:b w:val="0"/>
                <w:bCs w:val="0"/>
                <w:noProof/>
                <w:kern w:val="2"/>
                <w:sz w:val="24"/>
                <w:szCs w:val="24"/>
                <w:lang w:val="en-CA" w:eastAsia="en-CA" w:bidi="pa-IN"/>
                <w14:ligatures w14:val="standardContextual"/>
              </w:rPr>
              <w:tab/>
            </w:r>
            <w:r w:rsidRPr="00F66D62">
              <w:rPr>
                <w:rStyle w:val="Hyperlink"/>
                <w:noProof/>
                <w:lang w:val="fr-CA"/>
              </w:rPr>
              <w:t>Définitions</w:t>
            </w:r>
            <w:r>
              <w:rPr>
                <w:noProof/>
                <w:webHidden/>
              </w:rPr>
              <w:tab/>
            </w:r>
            <w:r>
              <w:rPr>
                <w:noProof/>
                <w:webHidden/>
              </w:rPr>
              <w:fldChar w:fldCharType="begin"/>
            </w:r>
            <w:r>
              <w:rPr>
                <w:noProof/>
                <w:webHidden/>
              </w:rPr>
              <w:instrText xml:space="preserve"> PAGEREF _Toc229053511 \h </w:instrText>
            </w:r>
            <w:r>
              <w:rPr>
                <w:noProof/>
                <w:webHidden/>
              </w:rPr>
            </w:r>
            <w:r>
              <w:rPr>
                <w:noProof/>
                <w:webHidden/>
              </w:rPr>
              <w:fldChar w:fldCharType="separate"/>
            </w:r>
            <w:r>
              <w:rPr>
                <w:noProof/>
                <w:webHidden/>
              </w:rPr>
              <w:t>8</w:t>
            </w:r>
            <w:r>
              <w:rPr>
                <w:noProof/>
                <w:webHidden/>
              </w:rPr>
              <w:fldChar w:fldCharType="end"/>
            </w:r>
          </w:hyperlink>
        </w:p>
        <w:p w14:paraId="2262D9B3" w14:textId="13924419"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12" w:history="1">
            <w:r w:rsidRPr="00F66D62">
              <w:rPr>
                <w:rStyle w:val="Hyperlink"/>
                <w:b/>
                <w:bCs/>
                <w:noProof/>
              </w:rPr>
              <w:t>(a)</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Appareil (ou dispositif) d’assistance</w:t>
            </w:r>
            <w:r>
              <w:rPr>
                <w:noProof/>
                <w:webHidden/>
              </w:rPr>
              <w:tab/>
            </w:r>
            <w:r>
              <w:rPr>
                <w:noProof/>
                <w:webHidden/>
              </w:rPr>
              <w:fldChar w:fldCharType="begin"/>
            </w:r>
            <w:r>
              <w:rPr>
                <w:noProof/>
                <w:webHidden/>
              </w:rPr>
              <w:instrText xml:space="preserve"> PAGEREF _Toc229053512 \h </w:instrText>
            </w:r>
            <w:r>
              <w:rPr>
                <w:noProof/>
                <w:webHidden/>
              </w:rPr>
            </w:r>
            <w:r>
              <w:rPr>
                <w:noProof/>
                <w:webHidden/>
              </w:rPr>
              <w:fldChar w:fldCharType="separate"/>
            </w:r>
            <w:r>
              <w:rPr>
                <w:noProof/>
                <w:webHidden/>
              </w:rPr>
              <w:t>8</w:t>
            </w:r>
            <w:r>
              <w:rPr>
                <w:noProof/>
                <w:webHidden/>
              </w:rPr>
              <w:fldChar w:fldCharType="end"/>
            </w:r>
          </w:hyperlink>
        </w:p>
        <w:p w14:paraId="45466804" w14:textId="7B01205B"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13" w:history="1">
            <w:r w:rsidRPr="00F66D62">
              <w:rPr>
                <w:rStyle w:val="Hyperlink"/>
                <w:b/>
                <w:bCs/>
                <w:noProof/>
              </w:rPr>
              <w:t>(b)</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Handicap</w:t>
            </w:r>
            <w:r>
              <w:rPr>
                <w:noProof/>
                <w:webHidden/>
              </w:rPr>
              <w:tab/>
            </w:r>
            <w:r>
              <w:rPr>
                <w:noProof/>
                <w:webHidden/>
              </w:rPr>
              <w:fldChar w:fldCharType="begin"/>
            </w:r>
            <w:r>
              <w:rPr>
                <w:noProof/>
                <w:webHidden/>
              </w:rPr>
              <w:instrText xml:space="preserve"> PAGEREF _Toc229053513 \h </w:instrText>
            </w:r>
            <w:r>
              <w:rPr>
                <w:noProof/>
                <w:webHidden/>
              </w:rPr>
            </w:r>
            <w:r>
              <w:rPr>
                <w:noProof/>
                <w:webHidden/>
              </w:rPr>
              <w:fldChar w:fldCharType="separate"/>
            </w:r>
            <w:r>
              <w:rPr>
                <w:noProof/>
                <w:webHidden/>
              </w:rPr>
              <w:t>8</w:t>
            </w:r>
            <w:r>
              <w:rPr>
                <w:noProof/>
                <w:webHidden/>
              </w:rPr>
              <w:fldChar w:fldCharType="end"/>
            </w:r>
          </w:hyperlink>
        </w:p>
        <w:p w14:paraId="39113FF0" w14:textId="2CF75B70"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14" w:history="1">
            <w:r w:rsidRPr="00F66D62">
              <w:rPr>
                <w:rStyle w:val="Hyperlink"/>
                <w:b/>
                <w:bCs/>
                <w:noProof/>
              </w:rPr>
              <w:t>(c)</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Animal d’assistance</w:t>
            </w:r>
            <w:r>
              <w:rPr>
                <w:noProof/>
                <w:webHidden/>
              </w:rPr>
              <w:tab/>
            </w:r>
            <w:r>
              <w:rPr>
                <w:noProof/>
                <w:webHidden/>
              </w:rPr>
              <w:fldChar w:fldCharType="begin"/>
            </w:r>
            <w:r>
              <w:rPr>
                <w:noProof/>
                <w:webHidden/>
              </w:rPr>
              <w:instrText xml:space="preserve"> PAGEREF _Toc229053514 \h </w:instrText>
            </w:r>
            <w:r>
              <w:rPr>
                <w:noProof/>
                <w:webHidden/>
              </w:rPr>
            </w:r>
            <w:r>
              <w:rPr>
                <w:noProof/>
                <w:webHidden/>
              </w:rPr>
              <w:fldChar w:fldCharType="separate"/>
            </w:r>
            <w:r>
              <w:rPr>
                <w:noProof/>
                <w:webHidden/>
              </w:rPr>
              <w:t>8</w:t>
            </w:r>
            <w:r>
              <w:rPr>
                <w:noProof/>
                <w:webHidden/>
              </w:rPr>
              <w:fldChar w:fldCharType="end"/>
            </w:r>
          </w:hyperlink>
        </w:p>
        <w:p w14:paraId="65CEB5E6" w14:textId="2A8A6E69"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15" w:history="1">
            <w:r w:rsidRPr="00F66D62">
              <w:rPr>
                <w:rStyle w:val="Hyperlink"/>
                <w:b/>
                <w:bCs/>
                <w:noProof/>
              </w:rPr>
              <w:t>(d)</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Personne de soutien</w:t>
            </w:r>
            <w:r>
              <w:rPr>
                <w:noProof/>
                <w:webHidden/>
              </w:rPr>
              <w:tab/>
            </w:r>
            <w:r>
              <w:rPr>
                <w:noProof/>
                <w:webHidden/>
              </w:rPr>
              <w:fldChar w:fldCharType="begin"/>
            </w:r>
            <w:r>
              <w:rPr>
                <w:noProof/>
                <w:webHidden/>
              </w:rPr>
              <w:instrText xml:space="preserve"> PAGEREF _Toc229053515 \h </w:instrText>
            </w:r>
            <w:r>
              <w:rPr>
                <w:noProof/>
                <w:webHidden/>
              </w:rPr>
            </w:r>
            <w:r>
              <w:rPr>
                <w:noProof/>
                <w:webHidden/>
              </w:rPr>
              <w:fldChar w:fldCharType="separate"/>
            </w:r>
            <w:r>
              <w:rPr>
                <w:noProof/>
                <w:webHidden/>
              </w:rPr>
              <w:t>9</w:t>
            </w:r>
            <w:r>
              <w:rPr>
                <w:noProof/>
                <w:webHidden/>
              </w:rPr>
              <w:fldChar w:fldCharType="end"/>
            </w:r>
          </w:hyperlink>
        </w:p>
        <w:p w14:paraId="46251EFB" w14:textId="59DC0ACB" w:rsidR="002052DC" w:rsidRDefault="002052DC">
          <w:pPr>
            <w:pStyle w:val="TOC2"/>
            <w:tabs>
              <w:tab w:val="left" w:pos="1474"/>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hyperlink w:anchor="_Toc229053516" w:history="1">
            <w:r w:rsidRPr="00F66D62">
              <w:rPr>
                <w:rStyle w:val="Hyperlink"/>
                <w:noProof/>
                <w:w w:val="91"/>
              </w:rPr>
              <w:t>4.</w:t>
            </w:r>
            <w:r>
              <w:rPr>
                <w:rFonts w:asciiTheme="minorHAnsi" w:eastAsiaTheme="minorEastAsia" w:hAnsiTheme="minorHAnsi" w:cstheme="minorBidi"/>
                <w:b w:val="0"/>
                <w:bCs w:val="0"/>
                <w:noProof/>
                <w:kern w:val="2"/>
                <w:sz w:val="24"/>
                <w:szCs w:val="24"/>
                <w:lang w:val="en-CA" w:eastAsia="en-CA" w:bidi="pa-IN"/>
                <w14:ligatures w14:val="standardContextual"/>
              </w:rPr>
              <w:tab/>
            </w:r>
            <w:r w:rsidRPr="00F66D62">
              <w:rPr>
                <w:rStyle w:val="Hyperlink"/>
                <w:noProof/>
                <w:lang w:val="fr-CA"/>
              </w:rPr>
              <w:t>Engagement de Metrolinx</w:t>
            </w:r>
            <w:r>
              <w:rPr>
                <w:noProof/>
                <w:webHidden/>
              </w:rPr>
              <w:tab/>
            </w:r>
            <w:r>
              <w:rPr>
                <w:noProof/>
                <w:webHidden/>
              </w:rPr>
              <w:fldChar w:fldCharType="begin"/>
            </w:r>
            <w:r>
              <w:rPr>
                <w:noProof/>
                <w:webHidden/>
              </w:rPr>
              <w:instrText xml:space="preserve"> PAGEREF _Toc229053516 \h </w:instrText>
            </w:r>
            <w:r>
              <w:rPr>
                <w:noProof/>
                <w:webHidden/>
              </w:rPr>
            </w:r>
            <w:r>
              <w:rPr>
                <w:noProof/>
                <w:webHidden/>
              </w:rPr>
              <w:fldChar w:fldCharType="separate"/>
            </w:r>
            <w:r>
              <w:rPr>
                <w:noProof/>
                <w:webHidden/>
              </w:rPr>
              <w:t>9</w:t>
            </w:r>
            <w:r>
              <w:rPr>
                <w:noProof/>
                <w:webHidden/>
              </w:rPr>
              <w:fldChar w:fldCharType="end"/>
            </w:r>
          </w:hyperlink>
        </w:p>
        <w:p w14:paraId="192268A4" w14:textId="5F16A1F4" w:rsidR="002052DC" w:rsidRDefault="002052DC">
          <w:pPr>
            <w:pStyle w:val="TOC2"/>
            <w:tabs>
              <w:tab w:val="left" w:pos="1474"/>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hyperlink w:anchor="_Toc229053517" w:history="1">
            <w:r w:rsidRPr="00F66D62">
              <w:rPr>
                <w:rStyle w:val="Hyperlink"/>
                <w:noProof/>
                <w:w w:val="91"/>
              </w:rPr>
              <w:t>5.</w:t>
            </w:r>
            <w:r>
              <w:rPr>
                <w:rFonts w:asciiTheme="minorHAnsi" w:eastAsiaTheme="minorEastAsia" w:hAnsiTheme="minorHAnsi" w:cstheme="minorBidi"/>
                <w:b w:val="0"/>
                <w:bCs w:val="0"/>
                <w:noProof/>
                <w:kern w:val="2"/>
                <w:sz w:val="24"/>
                <w:szCs w:val="24"/>
                <w:lang w:val="en-CA" w:eastAsia="en-CA" w:bidi="pa-IN"/>
                <w14:ligatures w14:val="standardContextual"/>
              </w:rPr>
              <w:tab/>
            </w:r>
            <w:r w:rsidRPr="00F66D62">
              <w:rPr>
                <w:rStyle w:val="Hyperlink"/>
                <w:noProof/>
                <w:lang w:val="fr-CA"/>
              </w:rPr>
              <w:t>Principes généraux</w:t>
            </w:r>
            <w:r>
              <w:rPr>
                <w:noProof/>
                <w:webHidden/>
              </w:rPr>
              <w:tab/>
            </w:r>
            <w:r>
              <w:rPr>
                <w:noProof/>
                <w:webHidden/>
              </w:rPr>
              <w:fldChar w:fldCharType="begin"/>
            </w:r>
            <w:r>
              <w:rPr>
                <w:noProof/>
                <w:webHidden/>
              </w:rPr>
              <w:instrText xml:space="preserve"> PAGEREF _Toc229053517 \h </w:instrText>
            </w:r>
            <w:r>
              <w:rPr>
                <w:noProof/>
                <w:webHidden/>
              </w:rPr>
            </w:r>
            <w:r>
              <w:rPr>
                <w:noProof/>
                <w:webHidden/>
              </w:rPr>
              <w:fldChar w:fldCharType="separate"/>
            </w:r>
            <w:r>
              <w:rPr>
                <w:noProof/>
                <w:webHidden/>
              </w:rPr>
              <w:t>9</w:t>
            </w:r>
            <w:r>
              <w:rPr>
                <w:noProof/>
                <w:webHidden/>
              </w:rPr>
              <w:fldChar w:fldCharType="end"/>
            </w:r>
          </w:hyperlink>
        </w:p>
        <w:p w14:paraId="58150CCE" w14:textId="509252C8" w:rsidR="002052DC" w:rsidRDefault="002052DC">
          <w:pPr>
            <w:pStyle w:val="TOC2"/>
            <w:tabs>
              <w:tab w:val="left" w:pos="1474"/>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hyperlink w:anchor="_Toc229053518" w:history="1">
            <w:r w:rsidRPr="00F66D62">
              <w:rPr>
                <w:rStyle w:val="Hyperlink"/>
                <w:noProof/>
                <w:w w:val="91"/>
              </w:rPr>
              <w:t>3.</w:t>
            </w:r>
            <w:r>
              <w:rPr>
                <w:rFonts w:asciiTheme="minorHAnsi" w:eastAsiaTheme="minorEastAsia" w:hAnsiTheme="minorHAnsi" w:cstheme="minorBidi"/>
                <w:b w:val="0"/>
                <w:bCs w:val="0"/>
                <w:noProof/>
                <w:kern w:val="2"/>
                <w:sz w:val="24"/>
                <w:szCs w:val="24"/>
                <w:lang w:val="en-CA" w:eastAsia="en-CA" w:bidi="pa-IN"/>
                <w14:ligatures w14:val="standardContextual"/>
              </w:rPr>
              <w:tab/>
            </w:r>
            <w:r w:rsidRPr="00F66D62">
              <w:rPr>
                <w:rStyle w:val="Hyperlink"/>
                <w:noProof/>
                <w:lang w:val="fr-CA"/>
              </w:rPr>
              <w:t>Politiques</w:t>
            </w:r>
            <w:r>
              <w:rPr>
                <w:noProof/>
                <w:webHidden/>
              </w:rPr>
              <w:tab/>
            </w:r>
            <w:r>
              <w:rPr>
                <w:noProof/>
                <w:webHidden/>
              </w:rPr>
              <w:fldChar w:fldCharType="begin"/>
            </w:r>
            <w:r>
              <w:rPr>
                <w:noProof/>
                <w:webHidden/>
              </w:rPr>
              <w:instrText xml:space="preserve"> PAGEREF _Toc229053518 \h </w:instrText>
            </w:r>
            <w:r>
              <w:rPr>
                <w:noProof/>
                <w:webHidden/>
              </w:rPr>
            </w:r>
            <w:r>
              <w:rPr>
                <w:noProof/>
                <w:webHidden/>
              </w:rPr>
              <w:fldChar w:fldCharType="separate"/>
            </w:r>
            <w:r>
              <w:rPr>
                <w:noProof/>
                <w:webHidden/>
              </w:rPr>
              <w:t>10</w:t>
            </w:r>
            <w:r>
              <w:rPr>
                <w:noProof/>
                <w:webHidden/>
              </w:rPr>
              <w:fldChar w:fldCharType="end"/>
            </w:r>
          </w:hyperlink>
        </w:p>
        <w:p w14:paraId="3A9921A3" w14:textId="4F997688"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19" w:history="1">
            <w:r w:rsidRPr="00F66D62">
              <w:rPr>
                <w:rStyle w:val="Hyperlink"/>
                <w:b/>
                <w:bCs/>
                <w:noProof/>
              </w:rPr>
              <w:t>(a)</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Plan d’accessibilité (article 4 des NAI)</w:t>
            </w:r>
            <w:r>
              <w:rPr>
                <w:noProof/>
                <w:webHidden/>
              </w:rPr>
              <w:tab/>
            </w:r>
            <w:r>
              <w:rPr>
                <w:noProof/>
                <w:webHidden/>
              </w:rPr>
              <w:fldChar w:fldCharType="begin"/>
            </w:r>
            <w:r>
              <w:rPr>
                <w:noProof/>
                <w:webHidden/>
              </w:rPr>
              <w:instrText xml:space="preserve"> PAGEREF _Toc229053519 \h </w:instrText>
            </w:r>
            <w:r>
              <w:rPr>
                <w:noProof/>
                <w:webHidden/>
              </w:rPr>
            </w:r>
            <w:r>
              <w:rPr>
                <w:noProof/>
                <w:webHidden/>
              </w:rPr>
              <w:fldChar w:fldCharType="separate"/>
            </w:r>
            <w:r>
              <w:rPr>
                <w:noProof/>
                <w:webHidden/>
              </w:rPr>
              <w:t>10</w:t>
            </w:r>
            <w:r>
              <w:rPr>
                <w:noProof/>
                <w:webHidden/>
              </w:rPr>
              <w:fldChar w:fldCharType="end"/>
            </w:r>
          </w:hyperlink>
        </w:p>
        <w:p w14:paraId="1FAC4C26" w14:textId="3A443A89"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20" w:history="1">
            <w:r w:rsidRPr="00F66D62">
              <w:rPr>
                <w:rStyle w:val="Hyperlink"/>
                <w:b/>
                <w:bCs/>
                <w:noProof/>
              </w:rPr>
              <w:t>(b)</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Formation (article 6 des NASC, article 7 des NAI, article 36 des NAI)</w:t>
            </w:r>
            <w:r>
              <w:rPr>
                <w:noProof/>
                <w:webHidden/>
              </w:rPr>
              <w:tab/>
            </w:r>
            <w:r>
              <w:rPr>
                <w:noProof/>
                <w:webHidden/>
              </w:rPr>
              <w:fldChar w:fldCharType="begin"/>
            </w:r>
            <w:r>
              <w:rPr>
                <w:noProof/>
                <w:webHidden/>
              </w:rPr>
              <w:instrText xml:space="preserve"> PAGEREF _Toc229053520 \h </w:instrText>
            </w:r>
            <w:r>
              <w:rPr>
                <w:noProof/>
                <w:webHidden/>
              </w:rPr>
            </w:r>
            <w:r>
              <w:rPr>
                <w:noProof/>
                <w:webHidden/>
              </w:rPr>
              <w:fldChar w:fldCharType="separate"/>
            </w:r>
            <w:r>
              <w:rPr>
                <w:noProof/>
                <w:webHidden/>
              </w:rPr>
              <w:t>10</w:t>
            </w:r>
            <w:r>
              <w:rPr>
                <w:noProof/>
                <w:webHidden/>
              </w:rPr>
              <w:fldChar w:fldCharType="end"/>
            </w:r>
          </w:hyperlink>
        </w:p>
        <w:p w14:paraId="2FF210CB" w14:textId="4BF1BD2B" w:rsidR="002052DC" w:rsidRDefault="002052DC">
          <w:pPr>
            <w:pStyle w:val="TOC4"/>
            <w:tabs>
              <w:tab w:val="left" w:pos="2289"/>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21" w:history="1">
            <w:r w:rsidRPr="00F66D62">
              <w:rPr>
                <w:rStyle w:val="Hyperlink"/>
                <w:noProof/>
                <w:spacing w:val="-1"/>
              </w:rPr>
              <w:t>(i)</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noProof/>
                <w:lang w:val="fr-CA"/>
              </w:rPr>
              <w:t>Formation en langue des signes</w:t>
            </w:r>
            <w:r>
              <w:rPr>
                <w:noProof/>
                <w:webHidden/>
              </w:rPr>
              <w:tab/>
            </w:r>
            <w:r>
              <w:rPr>
                <w:noProof/>
                <w:webHidden/>
              </w:rPr>
              <w:fldChar w:fldCharType="begin"/>
            </w:r>
            <w:r>
              <w:rPr>
                <w:noProof/>
                <w:webHidden/>
              </w:rPr>
              <w:instrText xml:space="preserve"> PAGEREF _Toc229053521 \h </w:instrText>
            </w:r>
            <w:r>
              <w:rPr>
                <w:noProof/>
                <w:webHidden/>
              </w:rPr>
            </w:r>
            <w:r>
              <w:rPr>
                <w:noProof/>
                <w:webHidden/>
              </w:rPr>
              <w:fldChar w:fldCharType="separate"/>
            </w:r>
            <w:r>
              <w:rPr>
                <w:noProof/>
                <w:webHidden/>
              </w:rPr>
              <w:t>11</w:t>
            </w:r>
            <w:r>
              <w:rPr>
                <w:noProof/>
                <w:webHidden/>
              </w:rPr>
              <w:fldChar w:fldCharType="end"/>
            </w:r>
          </w:hyperlink>
        </w:p>
        <w:p w14:paraId="747AFE0E" w14:textId="6920957B" w:rsidR="002052DC" w:rsidRDefault="002052DC">
          <w:pPr>
            <w:pStyle w:val="TOC4"/>
            <w:tabs>
              <w:tab w:val="left" w:pos="2350"/>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22" w:history="1">
            <w:r w:rsidRPr="00F66D62">
              <w:rPr>
                <w:rStyle w:val="Hyperlink"/>
                <w:noProof/>
                <w:spacing w:val="-1"/>
              </w:rPr>
              <w:t>(ii)</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noProof/>
                <w:lang w:val="fr-CA"/>
              </w:rPr>
              <w:t>Dossiers de formation</w:t>
            </w:r>
            <w:r>
              <w:rPr>
                <w:noProof/>
                <w:webHidden/>
              </w:rPr>
              <w:tab/>
            </w:r>
            <w:r>
              <w:rPr>
                <w:noProof/>
                <w:webHidden/>
              </w:rPr>
              <w:fldChar w:fldCharType="begin"/>
            </w:r>
            <w:r>
              <w:rPr>
                <w:noProof/>
                <w:webHidden/>
              </w:rPr>
              <w:instrText xml:space="preserve"> PAGEREF _Toc229053522 \h </w:instrText>
            </w:r>
            <w:r>
              <w:rPr>
                <w:noProof/>
                <w:webHidden/>
              </w:rPr>
            </w:r>
            <w:r>
              <w:rPr>
                <w:noProof/>
                <w:webHidden/>
              </w:rPr>
              <w:fldChar w:fldCharType="separate"/>
            </w:r>
            <w:r>
              <w:rPr>
                <w:noProof/>
                <w:webHidden/>
              </w:rPr>
              <w:t>11</w:t>
            </w:r>
            <w:r>
              <w:rPr>
                <w:noProof/>
                <w:webHidden/>
              </w:rPr>
              <w:fldChar w:fldCharType="end"/>
            </w:r>
          </w:hyperlink>
        </w:p>
        <w:p w14:paraId="2D7155C6" w14:textId="5E1D2757"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23" w:history="1">
            <w:r w:rsidRPr="00F66D62">
              <w:rPr>
                <w:rStyle w:val="Hyperlink"/>
                <w:b/>
                <w:bCs/>
                <w:noProof/>
              </w:rPr>
              <w:t>(c)</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Formats accessibles et aides à la communication (articles 12 et 26 des NAI, article 9 des NASC)</w:t>
            </w:r>
            <w:r>
              <w:rPr>
                <w:noProof/>
                <w:webHidden/>
              </w:rPr>
              <w:tab/>
            </w:r>
            <w:r>
              <w:rPr>
                <w:noProof/>
                <w:webHidden/>
              </w:rPr>
              <w:fldChar w:fldCharType="begin"/>
            </w:r>
            <w:r>
              <w:rPr>
                <w:noProof/>
                <w:webHidden/>
              </w:rPr>
              <w:instrText xml:space="preserve"> PAGEREF _Toc229053523 \h </w:instrText>
            </w:r>
            <w:r>
              <w:rPr>
                <w:noProof/>
                <w:webHidden/>
              </w:rPr>
            </w:r>
            <w:r>
              <w:rPr>
                <w:noProof/>
                <w:webHidden/>
              </w:rPr>
              <w:fldChar w:fldCharType="separate"/>
            </w:r>
            <w:r>
              <w:rPr>
                <w:noProof/>
                <w:webHidden/>
              </w:rPr>
              <w:t>11</w:t>
            </w:r>
            <w:r>
              <w:rPr>
                <w:noProof/>
                <w:webHidden/>
              </w:rPr>
              <w:fldChar w:fldCharType="end"/>
            </w:r>
          </w:hyperlink>
        </w:p>
        <w:p w14:paraId="6FF45BFA" w14:textId="52AEB181"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24" w:history="1">
            <w:r w:rsidRPr="00F66D62">
              <w:rPr>
                <w:rStyle w:val="Hyperlink"/>
                <w:b/>
                <w:bCs/>
                <w:noProof/>
              </w:rPr>
              <w:t>(d)</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Processus de rétroaction (article 11 des NAI, article 7 des NASC)</w:t>
            </w:r>
            <w:r>
              <w:rPr>
                <w:noProof/>
                <w:webHidden/>
              </w:rPr>
              <w:tab/>
            </w:r>
            <w:r>
              <w:rPr>
                <w:noProof/>
                <w:webHidden/>
              </w:rPr>
              <w:fldChar w:fldCharType="begin"/>
            </w:r>
            <w:r>
              <w:rPr>
                <w:noProof/>
                <w:webHidden/>
              </w:rPr>
              <w:instrText xml:space="preserve"> PAGEREF _Toc229053524 \h </w:instrText>
            </w:r>
            <w:r>
              <w:rPr>
                <w:noProof/>
                <w:webHidden/>
              </w:rPr>
            </w:r>
            <w:r>
              <w:rPr>
                <w:noProof/>
                <w:webHidden/>
              </w:rPr>
              <w:fldChar w:fldCharType="separate"/>
            </w:r>
            <w:r>
              <w:rPr>
                <w:noProof/>
                <w:webHidden/>
              </w:rPr>
              <w:t>12</w:t>
            </w:r>
            <w:r>
              <w:rPr>
                <w:noProof/>
                <w:webHidden/>
              </w:rPr>
              <w:fldChar w:fldCharType="end"/>
            </w:r>
          </w:hyperlink>
        </w:p>
        <w:p w14:paraId="0C7977DD" w14:textId="2E492829"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25" w:history="1">
            <w:r w:rsidRPr="00F66D62">
              <w:rPr>
                <w:rStyle w:val="Hyperlink"/>
                <w:b/>
                <w:bCs/>
                <w:noProof/>
              </w:rPr>
              <w:t>(e)</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Sites et contenus Web accessibles (article 14 des NAI)</w:t>
            </w:r>
            <w:r>
              <w:rPr>
                <w:noProof/>
                <w:webHidden/>
              </w:rPr>
              <w:tab/>
            </w:r>
            <w:r>
              <w:rPr>
                <w:noProof/>
                <w:webHidden/>
              </w:rPr>
              <w:fldChar w:fldCharType="begin"/>
            </w:r>
            <w:r>
              <w:rPr>
                <w:noProof/>
                <w:webHidden/>
              </w:rPr>
              <w:instrText xml:space="preserve"> PAGEREF _Toc229053525 \h </w:instrText>
            </w:r>
            <w:r>
              <w:rPr>
                <w:noProof/>
                <w:webHidden/>
              </w:rPr>
            </w:r>
            <w:r>
              <w:rPr>
                <w:noProof/>
                <w:webHidden/>
              </w:rPr>
              <w:fldChar w:fldCharType="separate"/>
            </w:r>
            <w:r>
              <w:rPr>
                <w:noProof/>
                <w:webHidden/>
              </w:rPr>
              <w:t>13</w:t>
            </w:r>
            <w:r>
              <w:rPr>
                <w:noProof/>
                <w:webHidden/>
              </w:rPr>
              <w:fldChar w:fldCharType="end"/>
            </w:r>
          </w:hyperlink>
        </w:p>
        <w:p w14:paraId="2AF81E72" w14:textId="72FE2003"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26" w:history="1">
            <w:r w:rsidRPr="00F66D62">
              <w:rPr>
                <w:rStyle w:val="Hyperlink"/>
                <w:b/>
                <w:bCs/>
                <w:noProof/>
              </w:rPr>
              <w:t>(f)</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Obtention ou acquisition de biens, de services ou d’installations (article 5 des NAI)</w:t>
            </w:r>
            <w:r>
              <w:rPr>
                <w:noProof/>
                <w:webHidden/>
              </w:rPr>
              <w:tab/>
            </w:r>
            <w:r>
              <w:rPr>
                <w:noProof/>
                <w:webHidden/>
              </w:rPr>
              <w:fldChar w:fldCharType="begin"/>
            </w:r>
            <w:r>
              <w:rPr>
                <w:noProof/>
                <w:webHidden/>
              </w:rPr>
              <w:instrText xml:space="preserve"> PAGEREF _Toc229053526 \h </w:instrText>
            </w:r>
            <w:r>
              <w:rPr>
                <w:noProof/>
                <w:webHidden/>
              </w:rPr>
            </w:r>
            <w:r>
              <w:rPr>
                <w:noProof/>
                <w:webHidden/>
              </w:rPr>
              <w:fldChar w:fldCharType="separate"/>
            </w:r>
            <w:r>
              <w:rPr>
                <w:noProof/>
                <w:webHidden/>
              </w:rPr>
              <w:t>13</w:t>
            </w:r>
            <w:r>
              <w:rPr>
                <w:noProof/>
                <w:webHidden/>
              </w:rPr>
              <w:fldChar w:fldCharType="end"/>
            </w:r>
          </w:hyperlink>
        </w:p>
        <w:p w14:paraId="0BB4C7FF" w14:textId="33202DFF"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27" w:history="1">
            <w:r w:rsidRPr="00F66D62">
              <w:rPr>
                <w:rStyle w:val="Hyperlink"/>
                <w:b/>
                <w:bCs/>
                <w:noProof/>
              </w:rPr>
              <w:t>(g)</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Emploi</w:t>
            </w:r>
            <w:r>
              <w:rPr>
                <w:noProof/>
                <w:webHidden/>
              </w:rPr>
              <w:tab/>
            </w:r>
            <w:r>
              <w:rPr>
                <w:noProof/>
                <w:webHidden/>
              </w:rPr>
              <w:fldChar w:fldCharType="begin"/>
            </w:r>
            <w:r>
              <w:rPr>
                <w:noProof/>
                <w:webHidden/>
              </w:rPr>
              <w:instrText xml:space="preserve"> PAGEREF _Toc229053527 \h </w:instrText>
            </w:r>
            <w:r>
              <w:rPr>
                <w:noProof/>
                <w:webHidden/>
              </w:rPr>
            </w:r>
            <w:r>
              <w:rPr>
                <w:noProof/>
                <w:webHidden/>
              </w:rPr>
              <w:fldChar w:fldCharType="separate"/>
            </w:r>
            <w:r>
              <w:rPr>
                <w:noProof/>
                <w:webHidden/>
              </w:rPr>
              <w:t>13</w:t>
            </w:r>
            <w:r>
              <w:rPr>
                <w:noProof/>
                <w:webHidden/>
              </w:rPr>
              <w:fldChar w:fldCharType="end"/>
            </w:r>
          </w:hyperlink>
        </w:p>
        <w:p w14:paraId="3169272D" w14:textId="05131257"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28" w:history="1">
            <w:r w:rsidRPr="00F66D62">
              <w:rPr>
                <w:rStyle w:val="Hyperlink"/>
                <w:noProof/>
                <w:lang w:val="fr-CA"/>
              </w:rPr>
              <w:t>(i) Recrutement, processus d’évaluation ou de sélection et mesures d’adaptation (articles 22, 23, 24, 25 des NAI)</w:t>
            </w:r>
            <w:r>
              <w:rPr>
                <w:noProof/>
                <w:webHidden/>
              </w:rPr>
              <w:tab/>
            </w:r>
            <w:r>
              <w:rPr>
                <w:noProof/>
                <w:webHidden/>
              </w:rPr>
              <w:fldChar w:fldCharType="begin"/>
            </w:r>
            <w:r>
              <w:rPr>
                <w:noProof/>
                <w:webHidden/>
              </w:rPr>
              <w:instrText xml:space="preserve"> PAGEREF _Toc229053528 \h </w:instrText>
            </w:r>
            <w:r>
              <w:rPr>
                <w:noProof/>
                <w:webHidden/>
              </w:rPr>
            </w:r>
            <w:r>
              <w:rPr>
                <w:noProof/>
                <w:webHidden/>
              </w:rPr>
              <w:fldChar w:fldCharType="separate"/>
            </w:r>
            <w:r>
              <w:rPr>
                <w:noProof/>
                <w:webHidden/>
              </w:rPr>
              <w:t>13</w:t>
            </w:r>
            <w:r>
              <w:rPr>
                <w:noProof/>
                <w:webHidden/>
              </w:rPr>
              <w:fldChar w:fldCharType="end"/>
            </w:r>
          </w:hyperlink>
        </w:p>
        <w:p w14:paraId="2A10C343" w14:textId="41A41A5B"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29" w:history="1">
            <w:r w:rsidRPr="00F66D62">
              <w:rPr>
                <w:rStyle w:val="Hyperlink"/>
                <w:noProof/>
                <w:lang w:val="fr-CA"/>
              </w:rPr>
              <w:t>(ii) Renseignements relatifs aux interventions d’urgence sur le lieu de travail (article 27 des NAI)</w:t>
            </w:r>
            <w:r>
              <w:rPr>
                <w:noProof/>
                <w:webHidden/>
              </w:rPr>
              <w:tab/>
            </w:r>
            <w:r>
              <w:rPr>
                <w:noProof/>
                <w:webHidden/>
              </w:rPr>
              <w:fldChar w:fldCharType="begin"/>
            </w:r>
            <w:r>
              <w:rPr>
                <w:noProof/>
                <w:webHidden/>
              </w:rPr>
              <w:instrText xml:space="preserve"> PAGEREF _Toc229053529 \h </w:instrText>
            </w:r>
            <w:r>
              <w:rPr>
                <w:noProof/>
                <w:webHidden/>
              </w:rPr>
            </w:r>
            <w:r>
              <w:rPr>
                <w:noProof/>
                <w:webHidden/>
              </w:rPr>
              <w:fldChar w:fldCharType="separate"/>
            </w:r>
            <w:r>
              <w:rPr>
                <w:noProof/>
                <w:webHidden/>
              </w:rPr>
              <w:t>14</w:t>
            </w:r>
            <w:r>
              <w:rPr>
                <w:noProof/>
                <w:webHidden/>
              </w:rPr>
              <w:fldChar w:fldCharType="end"/>
            </w:r>
          </w:hyperlink>
        </w:p>
        <w:p w14:paraId="601FB9FA" w14:textId="7912C14B"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30" w:history="1">
            <w:r w:rsidRPr="00F66D62">
              <w:rPr>
                <w:rStyle w:val="Hyperlink"/>
                <w:noProof/>
                <w:lang w:val="fr-CA"/>
              </w:rPr>
              <w:t>(iii) Plans d’adaptation individualisés et documentés (article 28 des NAI)</w:t>
            </w:r>
            <w:r>
              <w:rPr>
                <w:noProof/>
                <w:webHidden/>
              </w:rPr>
              <w:tab/>
            </w:r>
            <w:r>
              <w:rPr>
                <w:noProof/>
                <w:webHidden/>
              </w:rPr>
              <w:fldChar w:fldCharType="begin"/>
            </w:r>
            <w:r>
              <w:rPr>
                <w:noProof/>
                <w:webHidden/>
              </w:rPr>
              <w:instrText xml:space="preserve"> PAGEREF _Toc229053530 \h </w:instrText>
            </w:r>
            <w:r>
              <w:rPr>
                <w:noProof/>
                <w:webHidden/>
              </w:rPr>
            </w:r>
            <w:r>
              <w:rPr>
                <w:noProof/>
                <w:webHidden/>
              </w:rPr>
              <w:fldChar w:fldCharType="separate"/>
            </w:r>
            <w:r>
              <w:rPr>
                <w:noProof/>
                <w:webHidden/>
              </w:rPr>
              <w:t>14</w:t>
            </w:r>
            <w:r>
              <w:rPr>
                <w:noProof/>
                <w:webHidden/>
              </w:rPr>
              <w:fldChar w:fldCharType="end"/>
            </w:r>
          </w:hyperlink>
        </w:p>
        <w:p w14:paraId="3C2EA774" w14:textId="718192EC"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31" w:history="1">
            <w:r w:rsidRPr="00F66D62">
              <w:rPr>
                <w:rStyle w:val="Hyperlink"/>
                <w:noProof/>
                <w:lang w:val="fr-CA"/>
              </w:rPr>
              <w:t>(iv) Processus de retour au travail (article 29 des NAI)</w:t>
            </w:r>
            <w:r>
              <w:rPr>
                <w:noProof/>
                <w:webHidden/>
              </w:rPr>
              <w:tab/>
            </w:r>
            <w:r>
              <w:rPr>
                <w:noProof/>
                <w:webHidden/>
              </w:rPr>
              <w:fldChar w:fldCharType="begin"/>
            </w:r>
            <w:r>
              <w:rPr>
                <w:noProof/>
                <w:webHidden/>
              </w:rPr>
              <w:instrText xml:space="preserve"> PAGEREF _Toc229053531 \h </w:instrText>
            </w:r>
            <w:r>
              <w:rPr>
                <w:noProof/>
                <w:webHidden/>
              </w:rPr>
            </w:r>
            <w:r>
              <w:rPr>
                <w:noProof/>
                <w:webHidden/>
              </w:rPr>
              <w:fldChar w:fldCharType="separate"/>
            </w:r>
            <w:r>
              <w:rPr>
                <w:noProof/>
                <w:webHidden/>
              </w:rPr>
              <w:t>15</w:t>
            </w:r>
            <w:r>
              <w:rPr>
                <w:noProof/>
                <w:webHidden/>
              </w:rPr>
              <w:fldChar w:fldCharType="end"/>
            </w:r>
          </w:hyperlink>
        </w:p>
        <w:p w14:paraId="64DADBBD" w14:textId="5AF74352"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32" w:history="1">
            <w:r w:rsidRPr="00F66D62">
              <w:rPr>
                <w:rStyle w:val="Hyperlink"/>
                <w:noProof/>
                <w:lang w:val="fr-CA"/>
              </w:rPr>
              <w:t>(v) Gestion du rendement, perfectionnement et  avancement professionnels, et réaffectation (articles 30, 31, 32 des NAI)</w:t>
            </w:r>
            <w:r>
              <w:rPr>
                <w:noProof/>
                <w:webHidden/>
              </w:rPr>
              <w:tab/>
            </w:r>
            <w:r>
              <w:rPr>
                <w:noProof/>
                <w:webHidden/>
              </w:rPr>
              <w:fldChar w:fldCharType="begin"/>
            </w:r>
            <w:r>
              <w:rPr>
                <w:noProof/>
                <w:webHidden/>
              </w:rPr>
              <w:instrText xml:space="preserve"> PAGEREF _Toc229053532 \h </w:instrText>
            </w:r>
            <w:r>
              <w:rPr>
                <w:noProof/>
                <w:webHidden/>
              </w:rPr>
            </w:r>
            <w:r>
              <w:rPr>
                <w:noProof/>
                <w:webHidden/>
              </w:rPr>
              <w:fldChar w:fldCharType="separate"/>
            </w:r>
            <w:r>
              <w:rPr>
                <w:noProof/>
                <w:webHidden/>
              </w:rPr>
              <w:t>15</w:t>
            </w:r>
            <w:r>
              <w:rPr>
                <w:noProof/>
                <w:webHidden/>
              </w:rPr>
              <w:fldChar w:fldCharType="end"/>
            </w:r>
          </w:hyperlink>
        </w:p>
        <w:p w14:paraId="3B2CD041" w14:textId="2671C8E0"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33" w:history="1">
            <w:r w:rsidRPr="00F66D62">
              <w:rPr>
                <w:rStyle w:val="Hyperlink"/>
                <w:b/>
                <w:bCs/>
                <w:noProof/>
              </w:rPr>
              <w:t>(h)</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Services de transport</w:t>
            </w:r>
            <w:r>
              <w:rPr>
                <w:noProof/>
                <w:webHidden/>
              </w:rPr>
              <w:tab/>
            </w:r>
            <w:r>
              <w:rPr>
                <w:noProof/>
                <w:webHidden/>
              </w:rPr>
              <w:fldChar w:fldCharType="begin"/>
            </w:r>
            <w:r>
              <w:rPr>
                <w:noProof/>
                <w:webHidden/>
              </w:rPr>
              <w:instrText xml:space="preserve"> PAGEREF _Toc229053533 \h </w:instrText>
            </w:r>
            <w:r>
              <w:rPr>
                <w:noProof/>
                <w:webHidden/>
              </w:rPr>
            </w:r>
            <w:r>
              <w:rPr>
                <w:noProof/>
                <w:webHidden/>
              </w:rPr>
              <w:fldChar w:fldCharType="separate"/>
            </w:r>
            <w:r>
              <w:rPr>
                <w:noProof/>
                <w:webHidden/>
              </w:rPr>
              <w:t>15</w:t>
            </w:r>
            <w:r>
              <w:rPr>
                <w:noProof/>
                <w:webHidden/>
              </w:rPr>
              <w:fldChar w:fldCharType="end"/>
            </w:r>
          </w:hyperlink>
        </w:p>
        <w:p w14:paraId="413E2B59" w14:textId="42EC8387"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34" w:history="1">
            <w:r w:rsidRPr="00F66D62">
              <w:rPr>
                <w:rStyle w:val="Hyperlink"/>
                <w:noProof/>
                <w:lang w:val="fr-CA"/>
              </w:rPr>
              <w:t>(i) Embarquement et transport (article 44 des NAI)</w:t>
            </w:r>
            <w:r>
              <w:rPr>
                <w:noProof/>
                <w:webHidden/>
              </w:rPr>
              <w:tab/>
            </w:r>
            <w:r>
              <w:rPr>
                <w:noProof/>
                <w:webHidden/>
              </w:rPr>
              <w:fldChar w:fldCharType="begin"/>
            </w:r>
            <w:r>
              <w:rPr>
                <w:noProof/>
                <w:webHidden/>
              </w:rPr>
              <w:instrText xml:space="preserve"> PAGEREF _Toc229053534 \h </w:instrText>
            </w:r>
            <w:r>
              <w:rPr>
                <w:noProof/>
                <w:webHidden/>
              </w:rPr>
            </w:r>
            <w:r>
              <w:rPr>
                <w:noProof/>
                <w:webHidden/>
              </w:rPr>
              <w:fldChar w:fldCharType="separate"/>
            </w:r>
            <w:r>
              <w:rPr>
                <w:noProof/>
                <w:webHidden/>
              </w:rPr>
              <w:t>15</w:t>
            </w:r>
            <w:r>
              <w:rPr>
                <w:noProof/>
                <w:webHidden/>
              </w:rPr>
              <w:fldChar w:fldCharType="end"/>
            </w:r>
          </w:hyperlink>
        </w:p>
        <w:p w14:paraId="0911D817" w14:textId="461BBD2F"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35" w:history="1">
            <w:r w:rsidRPr="00F66D62">
              <w:rPr>
                <w:rStyle w:val="Hyperlink"/>
                <w:noProof/>
                <w:lang w:val="fr-CA"/>
              </w:rPr>
              <w:t>(ii) Perturbations du service (article 50 des NAI, article 5 des NASC)</w:t>
            </w:r>
            <w:r>
              <w:rPr>
                <w:noProof/>
                <w:webHidden/>
              </w:rPr>
              <w:tab/>
            </w:r>
            <w:r>
              <w:rPr>
                <w:noProof/>
                <w:webHidden/>
              </w:rPr>
              <w:fldChar w:fldCharType="begin"/>
            </w:r>
            <w:r>
              <w:rPr>
                <w:noProof/>
                <w:webHidden/>
              </w:rPr>
              <w:instrText xml:space="preserve"> PAGEREF _Toc229053535 \h </w:instrText>
            </w:r>
            <w:r>
              <w:rPr>
                <w:noProof/>
                <w:webHidden/>
              </w:rPr>
            </w:r>
            <w:r>
              <w:rPr>
                <w:noProof/>
                <w:webHidden/>
              </w:rPr>
              <w:fldChar w:fldCharType="separate"/>
            </w:r>
            <w:r>
              <w:rPr>
                <w:noProof/>
                <w:webHidden/>
              </w:rPr>
              <w:t>16</w:t>
            </w:r>
            <w:r>
              <w:rPr>
                <w:noProof/>
                <w:webHidden/>
              </w:rPr>
              <w:fldChar w:fldCharType="end"/>
            </w:r>
          </w:hyperlink>
        </w:p>
        <w:p w14:paraId="0C9BAD45" w14:textId="70BFC296"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36" w:history="1">
            <w:r w:rsidRPr="00F66D62">
              <w:rPr>
                <w:rStyle w:val="Hyperlink"/>
                <w:noProof/>
                <w:lang w:val="fr-CA"/>
              </w:rPr>
              <w:t>(iii) Équipement d’accessibilité non fonctionnel</w:t>
            </w:r>
            <w:r>
              <w:rPr>
                <w:noProof/>
                <w:webHidden/>
              </w:rPr>
              <w:tab/>
            </w:r>
            <w:r>
              <w:rPr>
                <w:noProof/>
                <w:webHidden/>
              </w:rPr>
              <w:fldChar w:fldCharType="begin"/>
            </w:r>
            <w:r>
              <w:rPr>
                <w:noProof/>
                <w:webHidden/>
              </w:rPr>
              <w:instrText xml:space="preserve"> PAGEREF _Toc229053536 \h </w:instrText>
            </w:r>
            <w:r>
              <w:rPr>
                <w:noProof/>
                <w:webHidden/>
              </w:rPr>
            </w:r>
            <w:r>
              <w:rPr>
                <w:noProof/>
                <w:webHidden/>
              </w:rPr>
              <w:fldChar w:fldCharType="separate"/>
            </w:r>
            <w:r>
              <w:rPr>
                <w:noProof/>
                <w:webHidden/>
              </w:rPr>
              <w:t>16</w:t>
            </w:r>
            <w:r>
              <w:rPr>
                <w:noProof/>
                <w:webHidden/>
              </w:rPr>
              <w:fldChar w:fldCharType="end"/>
            </w:r>
          </w:hyperlink>
        </w:p>
        <w:p w14:paraId="4B52EB69" w14:textId="12CA9896"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37" w:history="1">
            <w:r w:rsidRPr="00F66D62">
              <w:rPr>
                <w:rStyle w:val="Hyperlink"/>
                <w:noProof/>
                <w:lang w:val="fr-CA"/>
              </w:rPr>
              <w:t>(iv) Moyen de transport de remplacement accessible (article 45 des NAI)</w:t>
            </w:r>
            <w:r>
              <w:rPr>
                <w:noProof/>
                <w:webHidden/>
              </w:rPr>
              <w:tab/>
            </w:r>
            <w:r>
              <w:rPr>
                <w:noProof/>
                <w:webHidden/>
              </w:rPr>
              <w:fldChar w:fldCharType="begin"/>
            </w:r>
            <w:r>
              <w:rPr>
                <w:noProof/>
                <w:webHidden/>
              </w:rPr>
              <w:instrText xml:space="preserve"> PAGEREF _Toc229053537 \h </w:instrText>
            </w:r>
            <w:r>
              <w:rPr>
                <w:noProof/>
                <w:webHidden/>
              </w:rPr>
            </w:r>
            <w:r>
              <w:rPr>
                <w:noProof/>
                <w:webHidden/>
              </w:rPr>
              <w:fldChar w:fldCharType="separate"/>
            </w:r>
            <w:r>
              <w:rPr>
                <w:noProof/>
                <w:webHidden/>
              </w:rPr>
              <w:t>16</w:t>
            </w:r>
            <w:r>
              <w:rPr>
                <w:noProof/>
                <w:webHidden/>
              </w:rPr>
              <w:fldChar w:fldCharType="end"/>
            </w:r>
          </w:hyperlink>
        </w:p>
        <w:p w14:paraId="471DEF97" w14:textId="6AF94C60"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38" w:history="1">
            <w:r w:rsidRPr="00F66D62">
              <w:rPr>
                <w:rStyle w:val="Hyperlink"/>
                <w:noProof/>
                <w:lang w:val="fr-CA"/>
              </w:rPr>
              <w:t>(v) Arrêts des transports en commun (article 47 des NAI)</w:t>
            </w:r>
            <w:r>
              <w:rPr>
                <w:noProof/>
                <w:webHidden/>
              </w:rPr>
              <w:tab/>
            </w:r>
            <w:r>
              <w:rPr>
                <w:noProof/>
                <w:webHidden/>
              </w:rPr>
              <w:fldChar w:fldCharType="begin"/>
            </w:r>
            <w:r>
              <w:rPr>
                <w:noProof/>
                <w:webHidden/>
              </w:rPr>
              <w:instrText xml:space="preserve"> PAGEREF _Toc229053538 \h </w:instrText>
            </w:r>
            <w:r>
              <w:rPr>
                <w:noProof/>
                <w:webHidden/>
              </w:rPr>
            </w:r>
            <w:r>
              <w:rPr>
                <w:noProof/>
                <w:webHidden/>
              </w:rPr>
              <w:fldChar w:fldCharType="separate"/>
            </w:r>
            <w:r>
              <w:rPr>
                <w:noProof/>
                <w:webHidden/>
              </w:rPr>
              <w:t>16</w:t>
            </w:r>
            <w:r>
              <w:rPr>
                <w:noProof/>
                <w:webHidden/>
              </w:rPr>
              <w:fldChar w:fldCharType="end"/>
            </w:r>
          </w:hyperlink>
        </w:p>
        <w:p w14:paraId="627D4287" w14:textId="41A1F597"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39" w:history="1">
            <w:r w:rsidRPr="00F66D62">
              <w:rPr>
                <w:rStyle w:val="Hyperlink"/>
                <w:b/>
                <w:bCs/>
                <w:noProof/>
              </w:rPr>
              <w:t>(i)</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Communications avec la clientèle</w:t>
            </w:r>
            <w:r>
              <w:rPr>
                <w:noProof/>
                <w:webHidden/>
              </w:rPr>
              <w:tab/>
            </w:r>
            <w:r>
              <w:rPr>
                <w:noProof/>
                <w:webHidden/>
              </w:rPr>
              <w:fldChar w:fldCharType="begin"/>
            </w:r>
            <w:r>
              <w:rPr>
                <w:noProof/>
                <w:webHidden/>
              </w:rPr>
              <w:instrText xml:space="preserve"> PAGEREF _Toc229053539 \h </w:instrText>
            </w:r>
            <w:r>
              <w:rPr>
                <w:noProof/>
                <w:webHidden/>
              </w:rPr>
            </w:r>
            <w:r>
              <w:rPr>
                <w:noProof/>
                <w:webHidden/>
              </w:rPr>
              <w:fldChar w:fldCharType="separate"/>
            </w:r>
            <w:r>
              <w:rPr>
                <w:noProof/>
                <w:webHidden/>
              </w:rPr>
              <w:t>17</w:t>
            </w:r>
            <w:r>
              <w:rPr>
                <w:noProof/>
                <w:webHidden/>
              </w:rPr>
              <w:fldChar w:fldCharType="end"/>
            </w:r>
          </w:hyperlink>
        </w:p>
        <w:p w14:paraId="7A6E2A9A" w14:textId="2219D75A"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40" w:history="1">
            <w:r w:rsidRPr="00F66D62">
              <w:rPr>
                <w:rStyle w:val="Hyperlink"/>
                <w:noProof/>
                <w:lang w:val="fr-CA"/>
              </w:rPr>
              <w:t>(i) Disponibilité des renseignements sur l’équipement d’accessibilité (article 34 des NAI)</w:t>
            </w:r>
            <w:r>
              <w:rPr>
                <w:noProof/>
                <w:webHidden/>
              </w:rPr>
              <w:tab/>
            </w:r>
            <w:r>
              <w:rPr>
                <w:noProof/>
                <w:webHidden/>
              </w:rPr>
              <w:fldChar w:fldCharType="begin"/>
            </w:r>
            <w:r>
              <w:rPr>
                <w:noProof/>
                <w:webHidden/>
              </w:rPr>
              <w:instrText xml:space="preserve"> PAGEREF _Toc229053540 \h </w:instrText>
            </w:r>
            <w:r>
              <w:rPr>
                <w:noProof/>
                <w:webHidden/>
              </w:rPr>
            </w:r>
            <w:r>
              <w:rPr>
                <w:noProof/>
                <w:webHidden/>
              </w:rPr>
              <w:fldChar w:fldCharType="separate"/>
            </w:r>
            <w:r>
              <w:rPr>
                <w:noProof/>
                <w:webHidden/>
              </w:rPr>
              <w:t>17</w:t>
            </w:r>
            <w:r>
              <w:rPr>
                <w:noProof/>
                <w:webHidden/>
              </w:rPr>
              <w:fldChar w:fldCharType="end"/>
            </w:r>
          </w:hyperlink>
        </w:p>
        <w:p w14:paraId="6F6555EC" w14:textId="1DE8F88D"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41" w:history="1">
            <w:r w:rsidRPr="00F66D62">
              <w:rPr>
                <w:rStyle w:val="Hyperlink"/>
                <w:noProof/>
                <w:lang w:val="fr-CA"/>
              </w:rPr>
              <w:t>(ii) Annonces avant la montée des passagers et à bord (articles 51 et 52 des NAI)</w:t>
            </w:r>
            <w:r>
              <w:rPr>
                <w:noProof/>
                <w:webHidden/>
              </w:rPr>
              <w:tab/>
            </w:r>
            <w:r>
              <w:rPr>
                <w:noProof/>
                <w:webHidden/>
              </w:rPr>
              <w:fldChar w:fldCharType="begin"/>
            </w:r>
            <w:r>
              <w:rPr>
                <w:noProof/>
                <w:webHidden/>
              </w:rPr>
              <w:instrText xml:space="preserve"> PAGEREF _Toc229053541 \h </w:instrText>
            </w:r>
            <w:r>
              <w:rPr>
                <w:noProof/>
                <w:webHidden/>
              </w:rPr>
            </w:r>
            <w:r>
              <w:rPr>
                <w:noProof/>
                <w:webHidden/>
              </w:rPr>
              <w:fldChar w:fldCharType="separate"/>
            </w:r>
            <w:r>
              <w:rPr>
                <w:noProof/>
                <w:webHidden/>
              </w:rPr>
              <w:t>17</w:t>
            </w:r>
            <w:r>
              <w:rPr>
                <w:noProof/>
                <w:webHidden/>
              </w:rPr>
              <w:fldChar w:fldCharType="end"/>
            </w:r>
          </w:hyperlink>
        </w:p>
        <w:p w14:paraId="1D9E21DE" w14:textId="7F149EE3"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42" w:history="1">
            <w:r w:rsidRPr="00F66D62">
              <w:rPr>
                <w:rStyle w:val="Hyperlink"/>
                <w:noProof/>
                <w:lang w:val="fr-CA"/>
              </w:rPr>
              <w:t>(iii) Interruptions de service accessibles</w:t>
            </w:r>
            <w:r>
              <w:rPr>
                <w:noProof/>
                <w:webHidden/>
              </w:rPr>
              <w:tab/>
            </w:r>
            <w:r>
              <w:rPr>
                <w:noProof/>
                <w:webHidden/>
              </w:rPr>
              <w:fldChar w:fldCharType="begin"/>
            </w:r>
            <w:r>
              <w:rPr>
                <w:noProof/>
                <w:webHidden/>
              </w:rPr>
              <w:instrText xml:space="preserve"> PAGEREF _Toc229053542 \h </w:instrText>
            </w:r>
            <w:r>
              <w:rPr>
                <w:noProof/>
                <w:webHidden/>
              </w:rPr>
            </w:r>
            <w:r>
              <w:rPr>
                <w:noProof/>
                <w:webHidden/>
              </w:rPr>
              <w:fldChar w:fldCharType="separate"/>
            </w:r>
            <w:r>
              <w:rPr>
                <w:noProof/>
                <w:webHidden/>
              </w:rPr>
              <w:t>17</w:t>
            </w:r>
            <w:r>
              <w:rPr>
                <w:noProof/>
                <w:webHidden/>
              </w:rPr>
              <w:fldChar w:fldCharType="end"/>
            </w:r>
          </w:hyperlink>
        </w:p>
        <w:p w14:paraId="5686011D" w14:textId="54B21602"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43" w:history="1">
            <w:r w:rsidRPr="00F66D62">
              <w:rPr>
                <w:rStyle w:val="Hyperlink"/>
                <w:b/>
                <w:bCs/>
                <w:noProof/>
              </w:rPr>
              <w:t>(j)</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Tarifs et politiques sur les transports</w:t>
            </w:r>
            <w:r>
              <w:rPr>
                <w:noProof/>
                <w:webHidden/>
              </w:rPr>
              <w:tab/>
            </w:r>
            <w:r>
              <w:rPr>
                <w:noProof/>
                <w:webHidden/>
              </w:rPr>
              <w:fldChar w:fldCharType="begin"/>
            </w:r>
            <w:r>
              <w:rPr>
                <w:noProof/>
                <w:webHidden/>
              </w:rPr>
              <w:instrText xml:space="preserve"> PAGEREF _Toc229053543 \h </w:instrText>
            </w:r>
            <w:r>
              <w:rPr>
                <w:noProof/>
                <w:webHidden/>
              </w:rPr>
            </w:r>
            <w:r>
              <w:rPr>
                <w:noProof/>
                <w:webHidden/>
              </w:rPr>
              <w:fldChar w:fldCharType="separate"/>
            </w:r>
            <w:r>
              <w:rPr>
                <w:noProof/>
                <w:webHidden/>
              </w:rPr>
              <w:t>17</w:t>
            </w:r>
            <w:r>
              <w:rPr>
                <w:noProof/>
                <w:webHidden/>
              </w:rPr>
              <w:fldChar w:fldCharType="end"/>
            </w:r>
          </w:hyperlink>
        </w:p>
        <w:p w14:paraId="6DE5899A" w14:textId="49A99D4D"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44" w:history="1">
            <w:r w:rsidRPr="00F66D62">
              <w:rPr>
                <w:rStyle w:val="Hyperlink"/>
                <w:noProof/>
                <w:lang w:val="fr-CA"/>
              </w:rPr>
              <w:t>(i) Parité tarifaire</w:t>
            </w:r>
            <w:r>
              <w:rPr>
                <w:noProof/>
                <w:webHidden/>
              </w:rPr>
              <w:tab/>
            </w:r>
            <w:r>
              <w:rPr>
                <w:noProof/>
                <w:webHidden/>
              </w:rPr>
              <w:fldChar w:fldCharType="begin"/>
            </w:r>
            <w:r>
              <w:rPr>
                <w:noProof/>
                <w:webHidden/>
              </w:rPr>
              <w:instrText xml:space="preserve"> PAGEREF _Toc229053544 \h </w:instrText>
            </w:r>
            <w:r>
              <w:rPr>
                <w:noProof/>
                <w:webHidden/>
              </w:rPr>
            </w:r>
            <w:r>
              <w:rPr>
                <w:noProof/>
                <w:webHidden/>
              </w:rPr>
              <w:fldChar w:fldCharType="separate"/>
            </w:r>
            <w:r>
              <w:rPr>
                <w:noProof/>
                <w:webHidden/>
              </w:rPr>
              <w:t>17</w:t>
            </w:r>
            <w:r>
              <w:rPr>
                <w:noProof/>
                <w:webHidden/>
              </w:rPr>
              <w:fldChar w:fldCharType="end"/>
            </w:r>
          </w:hyperlink>
        </w:p>
        <w:p w14:paraId="19DCD182" w14:textId="431A2162"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45" w:history="1">
            <w:r w:rsidRPr="00F66D62">
              <w:rPr>
                <w:rStyle w:val="Hyperlink"/>
                <w:noProof/>
                <w:lang w:val="fr-CA"/>
              </w:rPr>
              <w:t>(ii) Personnes de soutien</w:t>
            </w:r>
            <w:r>
              <w:rPr>
                <w:noProof/>
                <w:webHidden/>
              </w:rPr>
              <w:tab/>
            </w:r>
            <w:r>
              <w:rPr>
                <w:noProof/>
                <w:webHidden/>
              </w:rPr>
              <w:fldChar w:fldCharType="begin"/>
            </w:r>
            <w:r>
              <w:rPr>
                <w:noProof/>
                <w:webHidden/>
              </w:rPr>
              <w:instrText xml:space="preserve"> PAGEREF _Toc229053545 \h </w:instrText>
            </w:r>
            <w:r>
              <w:rPr>
                <w:noProof/>
                <w:webHidden/>
              </w:rPr>
            </w:r>
            <w:r>
              <w:rPr>
                <w:noProof/>
                <w:webHidden/>
              </w:rPr>
              <w:fldChar w:fldCharType="separate"/>
            </w:r>
            <w:r>
              <w:rPr>
                <w:noProof/>
                <w:webHidden/>
              </w:rPr>
              <w:t>18</w:t>
            </w:r>
            <w:r>
              <w:rPr>
                <w:noProof/>
                <w:webHidden/>
              </w:rPr>
              <w:fldChar w:fldCharType="end"/>
            </w:r>
          </w:hyperlink>
        </w:p>
        <w:p w14:paraId="475E25BE" w14:textId="21EE1EE4"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46" w:history="1">
            <w:r w:rsidRPr="00F66D62">
              <w:rPr>
                <w:rStyle w:val="Hyperlink"/>
                <w:noProof/>
                <w:lang w:val="fr-CA"/>
              </w:rPr>
              <w:t>(iii) Animaux d’assistance</w:t>
            </w:r>
            <w:r>
              <w:rPr>
                <w:noProof/>
                <w:webHidden/>
              </w:rPr>
              <w:tab/>
            </w:r>
            <w:r>
              <w:rPr>
                <w:noProof/>
                <w:webHidden/>
              </w:rPr>
              <w:fldChar w:fldCharType="begin"/>
            </w:r>
            <w:r>
              <w:rPr>
                <w:noProof/>
                <w:webHidden/>
              </w:rPr>
              <w:instrText xml:space="preserve"> PAGEREF _Toc229053546 \h </w:instrText>
            </w:r>
            <w:r>
              <w:rPr>
                <w:noProof/>
                <w:webHidden/>
              </w:rPr>
            </w:r>
            <w:r>
              <w:rPr>
                <w:noProof/>
                <w:webHidden/>
              </w:rPr>
              <w:fldChar w:fldCharType="separate"/>
            </w:r>
            <w:r>
              <w:rPr>
                <w:noProof/>
                <w:webHidden/>
              </w:rPr>
              <w:t>18</w:t>
            </w:r>
            <w:r>
              <w:rPr>
                <w:noProof/>
                <w:webHidden/>
              </w:rPr>
              <w:fldChar w:fldCharType="end"/>
            </w:r>
          </w:hyperlink>
        </w:p>
        <w:p w14:paraId="01DAC8BD" w14:textId="4492FA76"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47" w:history="1">
            <w:r w:rsidRPr="00F66D62">
              <w:rPr>
                <w:rStyle w:val="Hyperlink"/>
                <w:noProof/>
                <w:lang w:val="fr-CA"/>
              </w:rPr>
              <w:t>(iv) Remisage des aides à la mobilité</w:t>
            </w:r>
            <w:r>
              <w:rPr>
                <w:noProof/>
                <w:webHidden/>
              </w:rPr>
              <w:tab/>
            </w:r>
            <w:r>
              <w:rPr>
                <w:noProof/>
                <w:webHidden/>
              </w:rPr>
              <w:fldChar w:fldCharType="begin"/>
            </w:r>
            <w:r>
              <w:rPr>
                <w:noProof/>
                <w:webHidden/>
              </w:rPr>
              <w:instrText xml:space="preserve"> PAGEREF _Toc229053547 \h </w:instrText>
            </w:r>
            <w:r>
              <w:rPr>
                <w:noProof/>
                <w:webHidden/>
              </w:rPr>
            </w:r>
            <w:r>
              <w:rPr>
                <w:noProof/>
                <w:webHidden/>
              </w:rPr>
              <w:fldChar w:fldCharType="separate"/>
            </w:r>
            <w:r>
              <w:rPr>
                <w:noProof/>
                <w:webHidden/>
              </w:rPr>
              <w:t>18</w:t>
            </w:r>
            <w:r>
              <w:rPr>
                <w:noProof/>
                <w:webHidden/>
              </w:rPr>
              <w:fldChar w:fldCharType="end"/>
            </w:r>
          </w:hyperlink>
        </w:p>
        <w:p w14:paraId="41539E8D" w14:textId="5E05BC50"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48" w:history="1">
            <w:r w:rsidRPr="00F66D62">
              <w:rPr>
                <w:rStyle w:val="Hyperlink"/>
                <w:noProof/>
                <w:lang w:val="fr-CA"/>
              </w:rPr>
              <w:t>(v) Politiques en matière de protection civile et d’interventions d’urgence (article 37 des NAI)</w:t>
            </w:r>
            <w:r>
              <w:rPr>
                <w:noProof/>
                <w:webHidden/>
              </w:rPr>
              <w:tab/>
            </w:r>
            <w:r>
              <w:rPr>
                <w:noProof/>
                <w:webHidden/>
              </w:rPr>
              <w:fldChar w:fldCharType="begin"/>
            </w:r>
            <w:r>
              <w:rPr>
                <w:noProof/>
                <w:webHidden/>
              </w:rPr>
              <w:instrText xml:space="preserve"> PAGEREF _Toc229053548 \h </w:instrText>
            </w:r>
            <w:r>
              <w:rPr>
                <w:noProof/>
                <w:webHidden/>
              </w:rPr>
            </w:r>
            <w:r>
              <w:rPr>
                <w:noProof/>
                <w:webHidden/>
              </w:rPr>
              <w:fldChar w:fldCharType="separate"/>
            </w:r>
            <w:r>
              <w:rPr>
                <w:noProof/>
                <w:webHidden/>
              </w:rPr>
              <w:t>18</w:t>
            </w:r>
            <w:r>
              <w:rPr>
                <w:noProof/>
                <w:webHidden/>
              </w:rPr>
              <w:fldChar w:fldCharType="end"/>
            </w:r>
          </w:hyperlink>
        </w:p>
        <w:p w14:paraId="3FF6614A" w14:textId="75BBA449" w:rsidR="002052DC" w:rsidRDefault="002052DC">
          <w:pPr>
            <w:pStyle w:val="TOC3"/>
            <w:tabs>
              <w:tab w:val="left" w:pos="1803"/>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49" w:history="1">
            <w:r w:rsidRPr="00F66D62">
              <w:rPr>
                <w:rStyle w:val="Hyperlink"/>
                <w:b/>
                <w:bCs/>
                <w:noProof/>
              </w:rPr>
              <w:t>(k)</w:t>
            </w:r>
            <w:r>
              <w:rPr>
                <w:rFonts w:asciiTheme="minorHAnsi" w:eastAsiaTheme="minorEastAsia" w:hAnsiTheme="minorHAnsi" w:cstheme="minorBidi"/>
                <w:noProof/>
                <w:kern w:val="2"/>
                <w:sz w:val="24"/>
                <w:szCs w:val="24"/>
                <w:lang w:val="en-CA" w:eastAsia="en-CA" w:bidi="pa-IN"/>
                <w14:ligatures w14:val="standardContextual"/>
              </w:rPr>
              <w:tab/>
            </w:r>
            <w:r w:rsidRPr="00F66D62">
              <w:rPr>
                <w:rStyle w:val="Hyperlink"/>
                <w:b/>
                <w:bCs/>
                <w:noProof/>
                <w:lang w:val="fr-CA"/>
              </w:rPr>
              <w:t>Véhicules de transport et installations</w:t>
            </w:r>
            <w:r>
              <w:rPr>
                <w:noProof/>
                <w:webHidden/>
              </w:rPr>
              <w:tab/>
            </w:r>
            <w:r>
              <w:rPr>
                <w:noProof/>
                <w:webHidden/>
              </w:rPr>
              <w:fldChar w:fldCharType="begin"/>
            </w:r>
            <w:r>
              <w:rPr>
                <w:noProof/>
                <w:webHidden/>
              </w:rPr>
              <w:instrText xml:space="preserve"> PAGEREF _Toc229053549 \h </w:instrText>
            </w:r>
            <w:r>
              <w:rPr>
                <w:noProof/>
                <w:webHidden/>
              </w:rPr>
            </w:r>
            <w:r>
              <w:rPr>
                <w:noProof/>
                <w:webHidden/>
              </w:rPr>
              <w:fldChar w:fldCharType="separate"/>
            </w:r>
            <w:r>
              <w:rPr>
                <w:noProof/>
                <w:webHidden/>
              </w:rPr>
              <w:t>18</w:t>
            </w:r>
            <w:r>
              <w:rPr>
                <w:noProof/>
                <w:webHidden/>
              </w:rPr>
              <w:fldChar w:fldCharType="end"/>
            </w:r>
          </w:hyperlink>
        </w:p>
        <w:p w14:paraId="69FF2B19" w14:textId="527E3A93"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50" w:history="1">
            <w:r w:rsidRPr="00F66D62">
              <w:rPr>
                <w:rStyle w:val="Hyperlink"/>
                <w:noProof/>
                <w:lang w:val="fr-CA"/>
              </w:rPr>
              <w:t>(i) Sièges réservés (article 49 des NAI)</w:t>
            </w:r>
            <w:r>
              <w:rPr>
                <w:noProof/>
                <w:webHidden/>
              </w:rPr>
              <w:tab/>
            </w:r>
            <w:r>
              <w:rPr>
                <w:noProof/>
                <w:webHidden/>
              </w:rPr>
              <w:fldChar w:fldCharType="begin"/>
            </w:r>
            <w:r>
              <w:rPr>
                <w:noProof/>
                <w:webHidden/>
              </w:rPr>
              <w:instrText xml:space="preserve"> PAGEREF _Toc229053550 \h </w:instrText>
            </w:r>
            <w:r>
              <w:rPr>
                <w:noProof/>
                <w:webHidden/>
              </w:rPr>
            </w:r>
            <w:r>
              <w:rPr>
                <w:noProof/>
                <w:webHidden/>
              </w:rPr>
              <w:fldChar w:fldCharType="separate"/>
            </w:r>
            <w:r>
              <w:rPr>
                <w:noProof/>
                <w:webHidden/>
              </w:rPr>
              <w:t>18</w:t>
            </w:r>
            <w:r>
              <w:rPr>
                <w:noProof/>
                <w:webHidden/>
              </w:rPr>
              <w:fldChar w:fldCharType="end"/>
            </w:r>
          </w:hyperlink>
        </w:p>
        <w:p w14:paraId="7D254867" w14:textId="616B73CE"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51" w:history="1">
            <w:r w:rsidRPr="00F66D62">
              <w:rPr>
                <w:rStyle w:val="Hyperlink"/>
                <w:noProof/>
                <w:lang w:val="fr-CA"/>
              </w:rPr>
              <w:t>(ii) Conception des véhicules</w:t>
            </w:r>
            <w:r>
              <w:rPr>
                <w:noProof/>
                <w:webHidden/>
              </w:rPr>
              <w:tab/>
            </w:r>
            <w:r>
              <w:rPr>
                <w:noProof/>
                <w:webHidden/>
              </w:rPr>
              <w:fldChar w:fldCharType="begin"/>
            </w:r>
            <w:r>
              <w:rPr>
                <w:noProof/>
                <w:webHidden/>
              </w:rPr>
              <w:instrText xml:space="preserve"> PAGEREF _Toc229053551 \h </w:instrText>
            </w:r>
            <w:r>
              <w:rPr>
                <w:noProof/>
                <w:webHidden/>
              </w:rPr>
            </w:r>
            <w:r>
              <w:rPr>
                <w:noProof/>
                <w:webHidden/>
              </w:rPr>
              <w:fldChar w:fldCharType="separate"/>
            </w:r>
            <w:r>
              <w:rPr>
                <w:noProof/>
                <w:webHidden/>
              </w:rPr>
              <w:t>19</w:t>
            </w:r>
            <w:r>
              <w:rPr>
                <w:noProof/>
                <w:webHidden/>
              </w:rPr>
              <w:fldChar w:fldCharType="end"/>
            </w:r>
          </w:hyperlink>
        </w:p>
        <w:p w14:paraId="1A578DF5" w14:textId="16CAB3F1" w:rsidR="002052DC" w:rsidRDefault="002052DC">
          <w:pPr>
            <w:pStyle w:val="TOC4"/>
            <w:tabs>
              <w:tab w:val="right" w:leader="dot" w:pos="10070"/>
            </w:tabs>
            <w:rPr>
              <w:rFonts w:asciiTheme="minorHAnsi" w:eastAsiaTheme="minorEastAsia" w:hAnsiTheme="minorHAnsi" w:cstheme="minorBidi"/>
              <w:noProof/>
              <w:kern w:val="2"/>
              <w:sz w:val="24"/>
              <w:szCs w:val="24"/>
              <w:lang w:val="en-CA" w:eastAsia="en-CA" w:bidi="pa-IN"/>
              <w14:ligatures w14:val="standardContextual"/>
            </w:rPr>
          </w:pPr>
          <w:hyperlink w:anchor="_Toc229053552" w:history="1">
            <w:r w:rsidRPr="00F66D62">
              <w:rPr>
                <w:rStyle w:val="Hyperlink"/>
                <w:noProof/>
                <w:lang w:val="fr-CA"/>
              </w:rPr>
              <w:t>(iii) Guichets libre-service (article 6 des NAI)</w:t>
            </w:r>
            <w:r>
              <w:rPr>
                <w:noProof/>
                <w:webHidden/>
              </w:rPr>
              <w:tab/>
            </w:r>
            <w:r>
              <w:rPr>
                <w:noProof/>
                <w:webHidden/>
              </w:rPr>
              <w:fldChar w:fldCharType="begin"/>
            </w:r>
            <w:r>
              <w:rPr>
                <w:noProof/>
                <w:webHidden/>
              </w:rPr>
              <w:instrText xml:space="preserve"> PAGEREF _Toc229053552 \h </w:instrText>
            </w:r>
            <w:r>
              <w:rPr>
                <w:noProof/>
                <w:webHidden/>
              </w:rPr>
            </w:r>
            <w:r>
              <w:rPr>
                <w:noProof/>
                <w:webHidden/>
              </w:rPr>
              <w:fldChar w:fldCharType="separate"/>
            </w:r>
            <w:r>
              <w:rPr>
                <w:noProof/>
                <w:webHidden/>
              </w:rPr>
              <w:t>19</w:t>
            </w:r>
            <w:r>
              <w:rPr>
                <w:noProof/>
                <w:webHidden/>
              </w:rPr>
              <w:fldChar w:fldCharType="end"/>
            </w:r>
          </w:hyperlink>
        </w:p>
        <w:p w14:paraId="2BEDB145" w14:textId="5733A724" w:rsidR="002052DC" w:rsidRDefault="002052DC">
          <w:pPr>
            <w:pStyle w:val="TOC2"/>
            <w:tabs>
              <w:tab w:val="right" w:leader="dot" w:pos="10070"/>
            </w:tabs>
            <w:rPr>
              <w:rFonts w:asciiTheme="minorHAnsi" w:eastAsiaTheme="minorEastAsia" w:hAnsiTheme="minorHAnsi" w:cstheme="minorBidi"/>
              <w:b w:val="0"/>
              <w:bCs w:val="0"/>
              <w:noProof/>
              <w:kern w:val="2"/>
              <w:sz w:val="24"/>
              <w:szCs w:val="24"/>
              <w:lang w:val="en-CA" w:eastAsia="en-CA" w:bidi="pa-IN"/>
              <w14:ligatures w14:val="standardContextual"/>
            </w:rPr>
          </w:pPr>
          <w:hyperlink w:anchor="_Toc229053553" w:history="1">
            <w:r w:rsidRPr="00F66D62">
              <w:rPr>
                <w:rStyle w:val="Hyperlink"/>
                <w:noProof/>
              </w:rPr>
              <w:t>Législation et conventions applicables</w:t>
            </w:r>
            <w:r>
              <w:rPr>
                <w:noProof/>
                <w:webHidden/>
              </w:rPr>
              <w:tab/>
            </w:r>
            <w:r>
              <w:rPr>
                <w:noProof/>
                <w:webHidden/>
              </w:rPr>
              <w:fldChar w:fldCharType="begin"/>
            </w:r>
            <w:r>
              <w:rPr>
                <w:noProof/>
                <w:webHidden/>
              </w:rPr>
              <w:instrText xml:space="preserve"> PAGEREF _Toc229053553 \h </w:instrText>
            </w:r>
            <w:r>
              <w:rPr>
                <w:noProof/>
                <w:webHidden/>
              </w:rPr>
            </w:r>
            <w:r>
              <w:rPr>
                <w:noProof/>
                <w:webHidden/>
              </w:rPr>
              <w:fldChar w:fldCharType="separate"/>
            </w:r>
            <w:r>
              <w:rPr>
                <w:noProof/>
                <w:webHidden/>
              </w:rPr>
              <w:t>19</w:t>
            </w:r>
            <w:r>
              <w:rPr>
                <w:noProof/>
                <w:webHidden/>
              </w:rPr>
              <w:fldChar w:fldCharType="end"/>
            </w:r>
          </w:hyperlink>
        </w:p>
        <w:p w14:paraId="0FBDBBBA" w14:textId="58B65F8F" w:rsidR="00172E8A" w:rsidRDefault="001D4B6D" w:rsidP="001D4B6D">
          <w:pPr>
            <w:pStyle w:val="TOCHeading"/>
          </w:pPr>
          <w:r>
            <w:fldChar w:fldCharType="end"/>
          </w:r>
        </w:p>
      </w:sdtContent>
    </w:sdt>
    <w:p w14:paraId="03F45595" w14:textId="77777777" w:rsidR="00023F99" w:rsidRDefault="00023F99">
      <w:pPr>
        <w:pStyle w:val="TOC3"/>
        <w:spacing w:line="240" w:lineRule="auto"/>
        <w:sectPr w:rsidR="00023F99">
          <w:type w:val="continuous"/>
          <w:pgSz w:w="12240" w:h="15840"/>
          <w:pgMar w:top="1360" w:right="720" w:bottom="1651" w:left="1440" w:header="708" w:footer="708" w:gutter="0"/>
          <w:cols w:space="708"/>
        </w:sectPr>
      </w:pPr>
    </w:p>
    <w:p w14:paraId="4F83F3FE" w14:textId="77777777" w:rsidR="00023F99" w:rsidRPr="00FB379E" w:rsidRDefault="00523346" w:rsidP="00405216">
      <w:pPr>
        <w:spacing w:before="120"/>
        <w:ind w:firstLine="360"/>
        <w:rPr>
          <w:b/>
          <w:bCs/>
          <w:color w:val="000000" w:themeColor="text1"/>
          <w:sz w:val="36"/>
          <w:szCs w:val="36"/>
        </w:rPr>
      </w:pPr>
      <w:r w:rsidRPr="00FB379E">
        <w:rPr>
          <w:b/>
          <w:bCs/>
          <w:color w:val="000000" w:themeColor="text1"/>
          <w:sz w:val="36"/>
          <w:szCs w:val="36"/>
          <w:lang w:val="fr-CA"/>
        </w:rPr>
        <w:lastRenderedPageBreak/>
        <w:t>Politique d’accessibilité de Metrolinx</w:t>
      </w:r>
    </w:p>
    <w:p w14:paraId="33947CF4" w14:textId="77777777" w:rsidR="00023F99" w:rsidRDefault="00523346" w:rsidP="00EE38A3">
      <w:pPr>
        <w:pStyle w:val="Heading2"/>
        <w:numPr>
          <w:ilvl w:val="0"/>
          <w:numId w:val="7"/>
        </w:numPr>
        <w:tabs>
          <w:tab w:val="left" w:pos="594"/>
        </w:tabs>
        <w:spacing w:before="480"/>
        <w:ind w:left="594" w:hanging="234"/>
      </w:pPr>
      <w:bookmarkStart w:id="5" w:name="1._Background"/>
      <w:bookmarkEnd w:id="5"/>
      <w:r>
        <w:rPr>
          <w:u w:val="single"/>
          <w:lang w:val="fr-CA"/>
        </w:rPr>
        <w:t xml:space="preserve"> </w:t>
      </w:r>
      <w:bookmarkStart w:id="6" w:name="_Toc229053509"/>
      <w:r>
        <w:rPr>
          <w:u w:val="single"/>
          <w:lang w:val="fr-CA"/>
        </w:rPr>
        <w:t>Contexte</w:t>
      </w:r>
      <w:bookmarkEnd w:id="6"/>
    </w:p>
    <w:p w14:paraId="628A7D72" w14:textId="77777777" w:rsidR="00023F99" w:rsidRPr="006E0392" w:rsidRDefault="00523346">
      <w:pPr>
        <w:spacing w:before="278"/>
        <w:ind w:left="359" w:right="1098"/>
        <w:rPr>
          <w:sz w:val="28"/>
          <w:lang w:val="fr-FR"/>
        </w:rPr>
      </w:pPr>
      <w:r>
        <w:rPr>
          <w:sz w:val="28"/>
          <w:lang w:val="fr-CA"/>
        </w:rPr>
        <w:t xml:space="preserve">Conformément à son engagement envers le service à la clientèle, Metrolinx soutient l’inclusion complète des personnes handicapées dans ses activités et services. Dans le cadre de son engagement à l’échelle de l’organisation à fournir des biens et des services accessibles aux personnes handicapées, Metrolinx opère dans un cadre de l’accessibilité fourni par la </w:t>
      </w:r>
      <w:r>
        <w:rPr>
          <w:b/>
          <w:bCs/>
          <w:sz w:val="28"/>
          <w:lang w:val="fr-CA"/>
        </w:rPr>
        <w:t>Charte canadienne des droits et libertés</w:t>
      </w:r>
      <w:r>
        <w:rPr>
          <w:sz w:val="28"/>
          <w:lang w:val="fr-CA"/>
        </w:rPr>
        <w:t xml:space="preserve">, le </w:t>
      </w:r>
      <w:r>
        <w:rPr>
          <w:b/>
          <w:bCs/>
          <w:sz w:val="28"/>
          <w:lang w:val="fr-CA"/>
        </w:rPr>
        <w:t>Code des droits de la personne de l’Ontario,</w:t>
      </w:r>
      <w:r>
        <w:rPr>
          <w:sz w:val="28"/>
          <w:lang w:val="fr-CA"/>
        </w:rPr>
        <w:t xml:space="preserve"> la </w:t>
      </w:r>
      <w:r>
        <w:rPr>
          <w:b/>
          <w:bCs/>
          <w:i/>
          <w:iCs/>
          <w:sz w:val="28"/>
          <w:lang w:val="fr-CA"/>
        </w:rPr>
        <w:t xml:space="preserve">Loi de 2001 sur les personnes handicapées de l’Ontario </w:t>
      </w:r>
      <w:r>
        <w:rPr>
          <w:b/>
          <w:bCs/>
          <w:sz w:val="28"/>
          <w:lang w:val="fr-CA"/>
        </w:rPr>
        <w:t xml:space="preserve">(LPHO) </w:t>
      </w:r>
      <w:r>
        <w:rPr>
          <w:sz w:val="28"/>
          <w:lang w:val="fr-CA"/>
        </w:rPr>
        <w:t xml:space="preserve">et la </w:t>
      </w:r>
      <w:r>
        <w:rPr>
          <w:b/>
          <w:bCs/>
          <w:i/>
          <w:iCs/>
          <w:sz w:val="28"/>
          <w:lang w:val="fr-CA"/>
        </w:rPr>
        <w:t>Loi de</w:t>
      </w:r>
      <w:r>
        <w:rPr>
          <w:i/>
          <w:iCs/>
          <w:sz w:val="28"/>
          <w:lang w:val="fr-CA"/>
        </w:rPr>
        <w:t xml:space="preserve"> </w:t>
      </w:r>
      <w:r>
        <w:rPr>
          <w:b/>
          <w:bCs/>
          <w:i/>
          <w:iCs/>
          <w:sz w:val="28"/>
          <w:lang w:val="fr-CA"/>
        </w:rPr>
        <w:t xml:space="preserve">2005 sur l’accessibilité pour les personnes handicapées de l’Ontario </w:t>
      </w:r>
      <w:r>
        <w:rPr>
          <w:b/>
          <w:bCs/>
          <w:sz w:val="28"/>
          <w:lang w:val="fr-CA"/>
        </w:rPr>
        <w:t>(LAPHO)</w:t>
      </w:r>
      <w:r>
        <w:rPr>
          <w:sz w:val="28"/>
          <w:lang w:val="fr-CA"/>
        </w:rPr>
        <w:t>.</w:t>
      </w:r>
    </w:p>
    <w:p w14:paraId="75FB7253" w14:textId="77777777" w:rsidR="00023F99" w:rsidRPr="006E0392" w:rsidRDefault="00523346">
      <w:pPr>
        <w:pStyle w:val="BodyText"/>
        <w:spacing w:before="239"/>
        <w:ind w:left="359" w:right="1098"/>
        <w:rPr>
          <w:lang w:val="fr-FR"/>
        </w:rPr>
      </w:pPr>
      <w:r>
        <w:rPr>
          <w:lang w:val="fr-CA"/>
        </w:rPr>
        <w:t xml:space="preserve">La </w:t>
      </w:r>
      <w:r>
        <w:rPr>
          <w:b/>
          <w:bCs/>
          <w:i/>
          <w:iCs/>
          <w:lang w:val="fr-CA"/>
        </w:rPr>
        <w:t>Loi de</w:t>
      </w:r>
      <w:r>
        <w:rPr>
          <w:i/>
          <w:iCs/>
          <w:lang w:val="fr-CA"/>
        </w:rPr>
        <w:t xml:space="preserve"> </w:t>
      </w:r>
      <w:r>
        <w:rPr>
          <w:b/>
          <w:bCs/>
          <w:i/>
          <w:iCs/>
          <w:lang w:val="fr-CA"/>
        </w:rPr>
        <w:t xml:space="preserve">2005 sur l’accessibilité pour les personnes handicapées de l’Ontario (LAPHO) </w:t>
      </w:r>
      <w:r>
        <w:rPr>
          <w:lang w:val="fr-CA"/>
        </w:rPr>
        <w:t>est une loi provinciale rédigée dans le but d’élaborer, de mettre en œuvre et de faire respecter des normes d’accessibilité afin d’atteindre l’accessibilité pour les personnes handicapées en ce qui concerne les biens, les services, les installations, l’hébergement, l’emploi, les bâtiments, les structures et les locaux d’ici 2025.</w:t>
      </w:r>
    </w:p>
    <w:p w14:paraId="4A5DDA48" w14:textId="77777777" w:rsidR="00023F99" w:rsidRPr="006E0392" w:rsidRDefault="00523346">
      <w:pPr>
        <w:pStyle w:val="BodyText"/>
        <w:spacing w:before="240"/>
        <w:ind w:right="1156" w:hanging="1"/>
        <w:rPr>
          <w:lang w:val="fr-FR"/>
        </w:rPr>
      </w:pPr>
      <w:r>
        <w:rPr>
          <w:lang w:val="fr-CA"/>
        </w:rPr>
        <w:t>Ce document de politique consolidé de Metrolinx traite des exigences énoncées dans deux règlements en vertu de la LAPHO, qui s’appliquent aux organisations du secteur public et à d’autres personnes ou organisations qui fournissent des biens et services aux membres du public :</w:t>
      </w:r>
    </w:p>
    <w:p w14:paraId="0D8BC703" w14:textId="77777777" w:rsidR="00023F99" w:rsidRPr="006E0392" w:rsidRDefault="00523346">
      <w:pPr>
        <w:spacing w:before="240"/>
        <w:ind w:left="360" w:right="1098"/>
        <w:rPr>
          <w:sz w:val="28"/>
          <w:lang w:val="fr-FR"/>
        </w:rPr>
      </w:pPr>
      <w:r>
        <w:rPr>
          <w:sz w:val="28"/>
          <w:lang w:val="fr-CA"/>
        </w:rPr>
        <w:t xml:space="preserve">Le </w:t>
      </w:r>
      <w:r>
        <w:rPr>
          <w:b/>
          <w:bCs/>
          <w:i/>
          <w:iCs/>
          <w:sz w:val="28"/>
          <w:lang w:val="fr-CA"/>
        </w:rPr>
        <w:t xml:space="preserve">Règlement de l’Ontario 429/07 : Normes d’accessibilité pour les services à la clientèle </w:t>
      </w:r>
      <w:r>
        <w:rPr>
          <w:b/>
          <w:bCs/>
          <w:sz w:val="28"/>
          <w:lang w:val="fr-CA"/>
        </w:rPr>
        <w:t xml:space="preserve">(NASC) </w:t>
      </w:r>
      <w:r>
        <w:rPr>
          <w:sz w:val="28"/>
          <w:lang w:val="fr-CA"/>
        </w:rPr>
        <w:t>établit</w:t>
      </w:r>
      <w:r>
        <w:rPr>
          <w:b/>
          <w:bCs/>
          <w:sz w:val="28"/>
          <w:lang w:val="fr-CA"/>
        </w:rPr>
        <w:t xml:space="preserve"> </w:t>
      </w:r>
      <w:r>
        <w:rPr>
          <w:sz w:val="28"/>
          <w:lang w:val="fr-CA"/>
        </w:rPr>
        <w:t>des normes d’accessibilité concernant le service à la clientèle.</w:t>
      </w:r>
    </w:p>
    <w:p w14:paraId="465E832C" w14:textId="77777777" w:rsidR="00023F99" w:rsidRPr="006E0392" w:rsidRDefault="00523346">
      <w:pPr>
        <w:spacing w:before="239"/>
        <w:ind w:left="360" w:right="1098"/>
        <w:rPr>
          <w:sz w:val="28"/>
          <w:lang w:val="fr-FR"/>
        </w:rPr>
      </w:pPr>
      <w:r>
        <w:rPr>
          <w:sz w:val="28"/>
          <w:lang w:val="fr-CA"/>
        </w:rPr>
        <w:t xml:space="preserve">Le </w:t>
      </w:r>
      <w:r>
        <w:rPr>
          <w:b/>
          <w:bCs/>
          <w:i/>
          <w:iCs/>
          <w:sz w:val="28"/>
          <w:lang w:val="fr-CA"/>
        </w:rPr>
        <w:t xml:space="preserve">Règlement de l’Ontario 191/11 : Normes d’accessibilité intégrées </w:t>
      </w:r>
      <w:r>
        <w:rPr>
          <w:b/>
          <w:bCs/>
          <w:sz w:val="28"/>
          <w:lang w:val="fr-CA"/>
        </w:rPr>
        <w:t xml:space="preserve">(NAI) </w:t>
      </w:r>
      <w:r>
        <w:rPr>
          <w:sz w:val="28"/>
          <w:lang w:val="fr-CA"/>
        </w:rPr>
        <w:t>établit</w:t>
      </w:r>
      <w:r>
        <w:rPr>
          <w:b/>
          <w:bCs/>
          <w:sz w:val="28"/>
          <w:lang w:val="fr-CA"/>
        </w:rPr>
        <w:t xml:space="preserve"> </w:t>
      </w:r>
      <w:r>
        <w:rPr>
          <w:sz w:val="28"/>
          <w:lang w:val="fr-CA"/>
        </w:rPr>
        <w:t>des normes d’accessibilité pour l’information et les communications, l’emploi et le transport.</w:t>
      </w:r>
    </w:p>
    <w:p w14:paraId="1AA5F908" w14:textId="77777777" w:rsidR="00023F99" w:rsidRDefault="00523346" w:rsidP="007847C0">
      <w:pPr>
        <w:pStyle w:val="Heading2"/>
        <w:numPr>
          <w:ilvl w:val="0"/>
          <w:numId w:val="7"/>
        </w:numPr>
        <w:tabs>
          <w:tab w:val="left" w:pos="594"/>
        </w:tabs>
        <w:spacing w:before="1320"/>
        <w:ind w:left="594" w:hanging="234"/>
      </w:pPr>
      <w:bookmarkStart w:id="7" w:name="2._Application"/>
      <w:bookmarkEnd w:id="7"/>
      <w:r>
        <w:rPr>
          <w:u w:val="single"/>
          <w:lang w:val="fr-CA"/>
        </w:rPr>
        <w:lastRenderedPageBreak/>
        <w:t xml:space="preserve"> </w:t>
      </w:r>
      <w:bookmarkStart w:id="8" w:name="_Toc229053510"/>
      <w:r>
        <w:rPr>
          <w:u w:val="single"/>
          <w:lang w:val="fr-CA"/>
        </w:rPr>
        <w:t>Application</w:t>
      </w:r>
      <w:bookmarkEnd w:id="8"/>
    </w:p>
    <w:p w14:paraId="559EFF68" w14:textId="7A3C7BDA" w:rsidR="00023F99" w:rsidRPr="006E0392" w:rsidRDefault="00523346" w:rsidP="00226C81">
      <w:pPr>
        <w:pStyle w:val="BodyText"/>
        <w:spacing w:before="322"/>
        <w:ind w:right="1098" w:hanging="1"/>
        <w:rPr>
          <w:lang w:val="fr-FR"/>
        </w:rPr>
      </w:pPr>
      <w:r>
        <w:rPr>
          <w:lang w:val="fr-CA"/>
        </w:rPr>
        <w:t>Cette politique décrit comment Metrolinx se conforme aux règlements et applique l’engagement organisationnel pour le service à la clientèle à tous les clients. Cela clarifie ce que nos clients peuvent attendre de nous. Le terme « client » s’applique à la fois à nos employés et aux services qu’ils</w:t>
      </w:r>
      <w:r w:rsidR="00226C81">
        <w:rPr>
          <w:lang w:val="fr-CA"/>
        </w:rPr>
        <w:t xml:space="preserve"> </w:t>
      </w:r>
      <w:r>
        <w:rPr>
          <w:lang w:val="fr-CA"/>
        </w:rPr>
        <w:t>peuvent attendre de Metrolinx en tant qu’employeur, et aux clients externes qui utilisent nos services. La politique guide les activités de toutes les personnes agissant au nom de Metrolinx, y compris les employés et les entrepreneurs.</w:t>
      </w:r>
    </w:p>
    <w:p w14:paraId="0A2BCE04" w14:textId="77777777" w:rsidR="00023F99" w:rsidRPr="006E0392" w:rsidRDefault="00523346" w:rsidP="00F001E0">
      <w:pPr>
        <w:pStyle w:val="BodyText"/>
        <w:spacing w:before="360"/>
        <w:ind w:right="1077"/>
        <w:rPr>
          <w:lang w:val="fr-FR"/>
        </w:rPr>
      </w:pPr>
      <w:r>
        <w:rPr>
          <w:lang w:val="fr-CA"/>
        </w:rPr>
        <w:t>La politique s’applique à Metrolinx et ses divisions opérationnelles, GO Transit, PRESTO, et Union Pearson Express (UP Express). Elle guide les activités de Metrolinx dans la planification, la conception et l’acquisition de biens futurs, d’installations et de services ainsi que dans l’exploitation des biens actuels.</w:t>
      </w:r>
    </w:p>
    <w:p w14:paraId="4D8B1B83" w14:textId="77777777" w:rsidR="00023F99" w:rsidRPr="006E0392" w:rsidRDefault="00523346">
      <w:pPr>
        <w:pStyle w:val="BodyText"/>
        <w:spacing w:before="320"/>
        <w:rPr>
          <w:lang w:val="fr-FR"/>
        </w:rPr>
      </w:pPr>
      <w:r>
        <w:rPr>
          <w:lang w:val="fr-CA"/>
        </w:rPr>
        <w:t>Cette politique est disponible dans d’autres formats sur demande.</w:t>
      </w:r>
    </w:p>
    <w:p w14:paraId="0133BC92" w14:textId="33D622D2" w:rsidR="00226C81" w:rsidRDefault="00523346" w:rsidP="008455AE">
      <w:pPr>
        <w:pStyle w:val="BodyText"/>
        <w:spacing w:before="240"/>
        <w:ind w:right="1156"/>
        <w:rPr>
          <w:lang w:val="fr-CA"/>
        </w:rPr>
      </w:pPr>
      <w:r>
        <w:rPr>
          <w:lang w:val="fr-CA"/>
        </w:rPr>
        <w:t>Le tableau à la page suivante fait référence aux pages du présent document qui traitent de chacune des articles du règlement de la LAPHO qui s’appliquent à Metrolinx. La date de conformité réglementaire pour chaque article est également fournie. Les politiques pour certains sujets, tels que la formation et les communications, répondent aux articles des deux règlements, comme indiqué dans la section inférieure du tableau.</w:t>
      </w:r>
    </w:p>
    <w:p w14:paraId="3902B2DF" w14:textId="77777777" w:rsidR="00226C81" w:rsidRDefault="00226C81">
      <w:pPr>
        <w:rPr>
          <w:sz w:val="28"/>
          <w:szCs w:val="28"/>
          <w:lang w:val="fr-CA"/>
        </w:rPr>
      </w:pPr>
      <w:r>
        <w:rPr>
          <w:lang w:val="fr-CA"/>
        </w:rPr>
        <w:br w:type="page"/>
      </w:r>
    </w:p>
    <w:tbl>
      <w:tblPr>
        <w:tblStyle w:val="TableNormal1"/>
        <w:tblW w:w="0" w:type="auto"/>
        <w:tblInd w:w="2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39"/>
        <w:gridCol w:w="908"/>
        <w:gridCol w:w="4491"/>
        <w:gridCol w:w="2536"/>
      </w:tblGrid>
      <w:tr w:rsidR="00023F99" w14:paraId="08CAF6BD" w14:textId="77777777" w:rsidTr="008455AE">
        <w:trPr>
          <w:cantSplit/>
          <w:trHeight w:val="620"/>
          <w:tblHeader/>
        </w:trPr>
        <w:tc>
          <w:tcPr>
            <w:tcW w:w="1639" w:type="dxa"/>
            <w:tcBorders>
              <w:right w:val="nil"/>
            </w:tcBorders>
            <w:shd w:val="clear" w:color="auto" w:fill="D9ECFF"/>
          </w:tcPr>
          <w:p w14:paraId="7E8C0B36" w14:textId="77777777" w:rsidR="00023F99" w:rsidRDefault="00523346">
            <w:pPr>
              <w:pStyle w:val="TableParagraph"/>
              <w:spacing w:line="240" w:lineRule="auto"/>
              <w:ind w:left="107" w:right="483"/>
              <w:jc w:val="left"/>
              <w:rPr>
                <w:b/>
                <w:sz w:val="18"/>
              </w:rPr>
            </w:pPr>
            <w:r>
              <w:rPr>
                <w:b/>
                <w:bCs/>
                <w:sz w:val="18"/>
                <w:lang w:val="fr-CA"/>
              </w:rPr>
              <w:lastRenderedPageBreak/>
              <w:t>Numéro d’article du régl.</w:t>
            </w:r>
          </w:p>
        </w:tc>
        <w:tc>
          <w:tcPr>
            <w:tcW w:w="908" w:type="dxa"/>
            <w:tcBorders>
              <w:left w:val="nil"/>
              <w:right w:val="nil"/>
            </w:tcBorders>
            <w:shd w:val="clear" w:color="auto" w:fill="D9ECFF"/>
          </w:tcPr>
          <w:p w14:paraId="5D9712D9" w14:textId="77777777" w:rsidR="00023F99" w:rsidRPr="006E0392" w:rsidRDefault="00523346">
            <w:pPr>
              <w:pStyle w:val="TableParagraph"/>
              <w:spacing w:line="206" w:lineRule="exact"/>
              <w:ind w:left="120" w:right="203"/>
              <w:jc w:val="both"/>
              <w:rPr>
                <w:b/>
                <w:sz w:val="18"/>
                <w:lang w:val="fr-FR"/>
              </w:rPr>
            </w:pPr>
            <w:r>
              <w:rPr>
                <w:b/>
                <w:bCs/>
                <w:sz w:val="18"/>
                <w:lang w:val="fr-CA"/>
              </w:rPr>
              <w:t>N</w:t>
            </w:r>
            <w:r>
              <w:rPr>
                <w:b/>
                <w:bCs/>
                <w:sz w:val="18"/>
                <w:vertAlign w:val="superscript"/>
                <w:lang w:val="fr-CA"/>
              </w:rPr>
              <w:t>o</w:t>
            </w:r>
            <w:r>
              <w:rPr>
                <w:b/>
                <w:bCs/>
                <w:sz w:val="18"/>
                <w:lang w:val="fr-CA"/>
              </w:rPr>
              <w:t xml:space="preserve"> de page dans cette politique</w:t>
            </w:r>
          </w:p>
        </w:tc>
        <w:tc>
          <w:tcPr>
            <w:tcW w:w="4491" w:type="dxa"/>
            <w:tcBorders>
              <w:left w:val="nil"/>
              <w:right w:val="nil"/>
            </w:tcBorders>
            <w:shd w:val="clear" w:color="auto" w:fill="D9ECFF"/>
          </w:tcPr>
          <w:p w14:paraId="07BAEEF8" w14:textId="77777777" w:rsidR="00023F99" w:rsidRDefault="00523346">
            <w:pPr>
              <w:pStyle w:val="TableParagraph"/>
              <w:spacing w:line="203" w:lineRule="exact"/>
              <w:ind w:left="112"/>
              <w:jc w:val="left"/>
              <w:rPr>
                <w:b/>
                <w:sz w:val="18"/>
              </w:rPr>
            </w:pPr>
            <w:r>
              <w:rPr>
                <w:b/>
                <w:bCs/>
                <w:sz w:val="18"/>
                <w:lang w:val="fr-CA"/>
              </w:rPr>
              <w:t>Exigences en matière d’accessibilité;</w:t>
            </w:r>
          </w:p>
        </w:tc>
        <w:tc>
          <w:tcPr>
            <w:tcW w:w="2536" w:type="dxa"/>
            <w:tcBorders>
              <w:left w:val="nil"/>
            </w:tcBorders>
            <w:shd w:val="clear" w:color="auto" w:fill="D9ECFF"/>
          </w:tcPr>
          <w:p w14:paraId="296E554B" w14:textId="77777777" w:rsidR="00023F99" w:rsidRDefault="00523346">
            <w:pPr>
              <w:pStyle w:val="TableParagraph"/>
              <w:spacing w:line="240" w:lineRule="auto"/>
              <w:ind w:left="121" w:right="385"/>
              <w:jc w:val="left"/>
              <w:rPr>
                <w:b/>
                <w:sz w:val="18"/>
              </w:rPr>
            </w:pPr>
            <w:r>
              <w:rPr>
                <w:b/>
                <w:bCs/>
                <w:sz w:val="18"/>
                <w:lang w:val="fr-CA"/>
              </w:rPr>
              <w:t>Date de conformité réglementaire</w:t>
            </w:r>
          </w:p>
        </w:tc>
      </w:tr>
      <w:tr w:rsidR="00023F99" w:rsidRPr="002052DC" w14:paraId="5BD0221D" w14:textId="77777777" w:rsidTr="008455AE">
        <w:trPr>
          <w:cantSplit/>
          <w:trHeight w:val="183"/>
        </w:trPr>
        <w:tc>
          <w:tcPr>
            <w:tcW w:w="9574" w:type="dxa"/>
            <w:gridSpan w:val="4"/>
            <w:tcBorders>
              <w:left w:val="single" w:sz="8" w:space="0" w:color="000000"/>
              <w:bottom w:val="single" w:sz="8" w:space="0" w:color="000000"/>
              <w:right w:val="single" w:sz="8" w:space="0" w:color="000000"/>
            </w:tcBorders>
            <w:shd w:val="clear" w:color="auto" w:fill="D9ECFF"/>
          </w:tcPr>
          <w:p w14:paraId="6D6877FD" w14:textId="77777777" w:rsidR="00023F99" w:rsidRPr="006E0392" w:rsidRDefault="00523346">
            <w:pPr>
              <w:pStyle w:val="TableParagraph"/>
              <w:ind w:left="112"/>
              <w:jc w:val="left"/>
              <w:rPr>
                <w:b/>
                <w:sz w:val="16"/>
                <w:lang w:val="fr-FR"/>
              </w:rPr>
            </w:pPr>
            <w:r>
              <w:rPr>
                <w:b/>
                <w:bCs/>
                <w:sz w:val="16"/>
                <w:lang w:val="fr-CA"/>
              </w:rPr>
              <w:t>RÈGLEMENT SUR LES NORMES D’ACCESSIBILITÉ POUR LES SERVICES À LA CLIENTÈLE (NASC)</w:t>
            </w:r>
          </w:p>
        </w:tc>
      </w:tr>
      <w:tr w:rsidR="00023F99" w14:paraId="05ABFFF8"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5AB9A074" w14:textId="77777777" w:rsidR="00023F99" w:rsidRDefault="00523346">
            <w:pPr>
              <w:pStyle w:val="TableParagraph"/>
              <w:rPr>
                <w:sz w:val="16"/>
              </w:rPr>
            </w:pPr>
            <w:r>
              <w:rPr>
                <w:sz w:val="16"/>
                <w:lang w:val="fr-CA"/>
              </w:rPr>
              <w:t>NASC4</w:t>
            </w:r>
          </w:p>
        </w:tc>
        <w:tc>
          <w:tcPr>
            <w:tcW w:w="908" w:type="dxa"/>
            <w:tcBorders>
              <w:top w:val="single" w:sz="8" w:space="0" w:color="000000"/>
              <w:left w:val="single" w:sz="8" w:space="0" w:color="000000"/>
              <w:bottom w:val="single" w:sz="8" w:space="0" w:color="000000"/>
              <w:right w:val="single" w:sz="8" w:space="0" w:color="000000"/>
            </w:tcBorders>
          </w:tcPr>
          <w:p w14:paraId="1E4D6DE4" w14:textId="77777777" w:rsidR="00023F99" w:rsidRDefault="00523346">
            <w:pPr>
              <w:pStyle w:val="TableParagraph"/>
              <w:ind w:left="17" w:right="4"/>
              <w:rPr>
                <w:sz w:val="16"/>
              </w:rPr>
            </w:pPr>
            <w:r>
              <w:rPr>
                <w:sz w:val="16"/>
                <w:lang w:val="fr-CA"/>
              </w:rPr>
              <w:t>16</w:t>
            </w:r>
          </w:p>
        </w:tc>
        <w:tc>
          <w:tcPr>
            <w:tcW w:w="4491" w:type="dxa"/>
            <w:tcBorders>
              <w:top w:val="single" w:sz="8" w:space="0" w:color="000000"/>
              <w:left w:val="single" w:sz="8" w:space="0" w:color="000000"/>
              <w:bottom w:val="single" w:sz="8" w:space="0" w:color="000000"/>
              <w:right w:val="single" w:sz="8" w:space="0" w:color="000000"/>
            </w:tcBorders>
          </w:tcPr>
          <w:p w14:paraId="1B7D7EF3" w14:textId="77777777" w:rsidR="00023F99" w:rsidRPr="006E0392" w:rsidRDefault="00523346">
            <w:pPr>
              <w:pStyle w:val="TableParagraph"/>
              <w:ind w:left="102"/>
              <w:jc w:val="left"/>
              <w:rPr>
                <w:sz w:val="16"/>
                <w:lang w:val="fr-FR"/>
              </w:rPr>
            </w:pPr>
            <w:r>
              <w:rPr>
                <w:sz w:val="16"/>
                <w:lang w:val="fr-CA"/>
              </w:rPr>
              <w:t>Utilisation des animaux d’assistance et des personnes de soutien</w:t>
            </w:r>
          </w:p>
        </w:tc>
        <w:tc>
          <w:tcPr>
            <w:tcW w:w="2536" w:type="dxa"/>
            <w:tcBorders>
              <w:top w:val="single" w:sz="8" w:space="0" w:color="000000"/>
              <w:left w:val="single" w:sz="8" w:space="0" w:color="000000"/>
              <w:bottom w:val="single" w:sz="8" w:space="0" w:color="000000"/>
              <w:right w:val="single" w:sz="8" w:space="0" w:color="000000"/>
            </w:tcBorders>
          </w:tcPr>
          <w:p w14:paraId="387BEFD1"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2010</w:t>
            </w:r>
          </w:p>
        </w:tc>
      </w:tr>
      <w:tr w:rsidR="00023F99" w:rsidRPr="002052DC" w14:paraId="1198E705" w14:textId="77777777" w:rsidTr="008455AE">
        <w:trPr>
          <w:cantSplit/>
          <w:trHeight w:val="184"/>
        </w:trPr>
        <w:tc>
          <w:tcPr>
            <w:tcW w:w="9574" w:type="dxa"/>
            <w:gridSpan w:val="4"/>
            <w:tcBorders>
              <w:top w:val="single" w:sz="8" w:space="0" w:color="000000"/>
              <w:left w:val="single" w:sz="8" w:space="0" w:color="000000"/>
              <w:bottom w:val="single" w:sz="8" w:space="0" w:color="000000"/>
              <w:right w:val="single" w:sz="8" w:space="0" w:color="000000"/>
            </w:tcBorders>
            <w:shd w:val="clear" w:color="auto" w:fill="D9ECFF"/>
          </w:tcPr>
          <w:p w14:paraId="328774CF" w14:textId="0E973562" w:rsidR="00023F99" w:rsidRPr="006E0392" w:rsidRDefault="00523346">
            <w:pPr>
              <w:pStyle w:val="TableParagraph"/>
              <w:ind w:left="112"/>
              <w:jc w:val="left"/>
              <w:rPr>
                <w:b/>
                <w:sz w:val="16"/>
                <w:lang w:val="fr-FR"/>
              </w:rPr>
            </w:pPr>
            <w:r>
              <w:rPr>
                <w:b/>
                <w:bCs/>
                <w:sz w:val="16"/>
                <w:lang w:val="fr-CA"/>
              </w:rPr>
              <w:t>RÈGLEMENT SUR LES NORME</w:t>
            </w:r>
            <w:r w:rsidR="00AF17E8">
              <w:rPr>
                <w:b/>
                <w:bCs/>
                <w:sz w:val="16"/>
                <w:lang w:val="fr-CA"/>
              </w:rPr>
              <w:t>S</w:t>
            </w:r>
            <w:r>
              <w:rPr>
                <w:b/>
                <w:bCs/>
                <w:sz w:val="16"/>
                <w:lang w:val="fr-CA"/>
              </w:rPr>
              <w:t xml:space="preserve"> D’ACCESSIBILITÉ INTÉGRÉES (NAI)</w:t>
            </w:r>
          </w:p>
        </w:tc>
      </w:tr>
      <w:tr w:rsidR="00023F99" w14:paraId="79CD9E9D" w14:textId="77777777" w:rsidTr="008455AE">
        <w:trPr>
          <w:cantSplit/>
          <w:trHeight w:val="183"/>
        </w:trPr>
        <w:tc>
          <w:tcPr>
            <w:tcW w:w="9574" w:type="dxa"/>
            <w:gridSpan w:val="4"/>
            <w:tcBorders>
              <w:top w:val="single" w:sz="8" w:space="0" w:color="000000"/>
              <w:left w:val="single" w:sz="8" w:space="0" w:color="000000"/>
              <w:bottom w:val="single" w:sz="8" w:space="0" w:color="000000"/>
              <w:right w:val="single" w:sz="8" w:space="0" w:color="000000"/>
            </w:tcBorders>
            <w:shd w:val="clear" w:color="auto" w:fill="D9ECFF"/>
          </w:tcPr>
          <w:p w14:paraId="31E358AC" w14:textId="77777777" w:rsidR="00023F99" w:rsidRDefault="00523346">
            <w:pPr>
              <w:pStyle w:val="TableParagraph"/>
              <w:ind w:left="112"/>
              <w:jc w:val="left"/>
              <w:rPr>
                <w:b/>
                <w:sz w:val="16"/>
              </w:rPr>
            </w:pPr>
            <w:r>
              <w:rPr>
                <w:sz w:val="16"/>
                <w:lang w:val="fr-CA"/>
              </w:rPr>
              <w:t>&gt;</w:t>
            </w:r>
            <w:r>
              <w:rPr>
                <w:b/>
                <w:bCs/>
                <w:sz w:val="16"/>
                <w:lang w:val="fr-CA"/>
              </w:rPr>
              <w:t xml:space="preserve"> Partie I – Dispositions générales</w:t>
            </w:r>
          </w:p>
        </w:tc>
      </w:tr>
      <w:tr w:rsidR="00023F99" w14:paraId="001F8265"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604AEEF6" w14:textId="77777777" w:rsidR="00023F99" w:rsidRDefault="00523346">
            <w:pPr>
              <w:pStyle w:val="TableParagraph"/>
              <w:rPr>
                <w:sz w:val="16"/>
              </w:rPr>
            </w:pPr>
            <w:r>
              <w:rPr>
                <w:sz w:val="16"/>
                <w:lang w:val="fr-CA"/>
              </w:rPr>
              <w:t>Article 4 des NAI</w:t>
            </w:r>
          </w:p>
        </w:tc>
        <w:tc>
          <w:tcPr>
            <w:tcW w:w="908" w:type="dxa"/>
            <w:tcBorders>
              <w:top w:val="single" w:sz="8" w:space="0" w:color="000000"/>
              <w:left w:val="single" w:sz="8" w:space="0" w:color="000000"/>
              <w:bottom w:val="single" w:sz="8" w:space="0" w:color="000000"/>
              <w:right w:val="single" w:sz="8" w:space="0" w:color="000000"/>
            </w:tcBorders>
          </w:tcPr>
          <w:p w14:paraId="35BE2C02" w14:textId="77777777" w:rsidR="00023F99" w:rsidRDefault="00523346">
            <w:pPr>
              <w:pStyle w:val="TableParagraph"/>
              <w:ind w:left="17"/>
              <w:rPr>
                <w:sz w:val="16"/>
              </w:rPr>
            </w:pPr>
            <w:r>
              <w:rPr>
                <w:sz w:val="16"/>
                <w:lang w:val="fr-CA"/>
              </w:rPr>
              <w:t>6</w:t>
            </w:r>
          </w:p>
        </w:tc>
        <w:tc>
          <w:tcPr>
            <w:tcW w:w="4491" w:type="dxa"/>
            <w:tcBorders>
              <w:top w:val="single" w:sz="8" w:space="0" w:color="000000"/>
              <w:left w:val="single" w:sz="8" w:space="0" w:color="000000"/>
              <w:bottom w:val="single" w:sz="8" w:space="0" w:color="000000"/>
              <w:right w:val="single" w:sz="8" w:space="0" w:color="000000"/>
            </w:tcBorders>
          </w:tcPr>
          <w:p w14:paraId="5BAB1DFE" w14:textId="77777777" w:rsidR="00023F99" w:rsidRDefault="00523346">
            <w:pPr>
              <w:pStyle w:val="TableParagraph"/>
              <w:ind w:left="102"/>
              <w:jc w:val="left"/>
              <w:rPr>
                <w:sz w:val="16"/>
              </w:rPr>
            </w:pPr>
            <w:r>
              <w:rPr>
                <w:sz w:val="16"/>
                <w:lang w:val="fr-CA"/>
              </w:rPr>
              <w:t>Plans d’accessibilité</w:t>
            </w:r>
          </w:p>
        </w:tc>
        <w:tc>
          <w:tcPr>
            <w:tcW w:w="2536" w:type="dxa"/>
            <w:tcBorders>
              <w:top w:val="single" w:sz="8" w:space="0" w:color="000000"/>
              <w:left w:val="single" w:sz="8" w:space="0" w:color="000000"/>
              <w:bottom w:val="single" w:sz="8" w:space="0" w:color="000000"/>
              <w:right w:val="single" w:sz="8" w:space="0" w:color="000000"/>
            </w:tcBorders>
          </w:tcPr>
          <w:p w14:paraId="4EAA8E3C" w14:textId="77777777" w:rsidR="00023F99" w:rsidRDefault="00523346">
            <w:pPr>
              <w:pStyle w:val="TableParagraph"/>
              <w:ind w:right="1"/>
              <w:rPr>
                <w:sz w:val="16"/>
              </w:rPr>
            </w:pPr>
            <w:r>
              <w:rPr>
                <w:sz w:val="16"/>
                <w:lang w:val="fr-CA"/>
              </w:rPr>
              <w:t>1</w:t>
            </w:r>
            <w:r>
              <w:rPr>
                <w:sz w:val="16"/>
                <w:vertAlign w:val="superscript"/>
                <w:lang w:val="fr-CA"/>
              </w:rPr>
              <w:t>er</w:t>
            </w:r>
            <w:r>
              <w:rPr>
                <w:sz w:val="16"/>
                <w:lang w:val="fr-CA"/>
              </w:rPr>
              <w:t> janvier 2013</w:t>
            </w:r>
          </w:p>
        </w:tc>
      </w:tr>
      <w:tr w:rsidR="00023F99" w14:paraId="023AD8F3" w14:textId="77777777" w:rsidTr="008455AE">
        <w:trPr>
          <w:cantSplit/>
          <w:trHeight w:val="205"/>
        </w:trPr>
        <w:tc>
          <w:tcPr>
            <w:tcW w:w="1639" w:type="dxa"/>
            <w:tcBorders>
              <w:top w:val="single" w:sz="8" w:space="0" w:color="000000"/>
              <w:left w:val="single" w:sz="8" w:space="0" w:color="000000"/>
              <w:bottom w:val="single" w:sz="8" w:space="0" w:color="000000"/>
              <w:right w:val="single" w:sz="8" w:space="0" w:color="000000"/>
            </w:tcBorders>
          </w:tcPr>
          <w:p w14:paraId="53DA1410" w14:textId="77777777" w:rsidR="00023F99" w:rsidRDefault="00523346">
            <w:pPr>
              <w:pStyle w:val="TableParagraph"/>
              <w:spacing w:line="182" w:lineRule="exact"/>
              <w:rPr>
                <w:sz w:val="16"/>
              </w:rPr>
            </w:pPr>
            <w:r>
              <w:rPr>
                <w:sz w:val="16"/>
                <w:lang w:val="fr-CA"/>
              </w:rPr>
              <w:t>Article 5 des NAI</w:t>
            </w:r>
          </w:p>
        </w:tc>
        <w:tc>
          <w:tcPr>
            <w:tcW w:w="908" w:type="dxa"/>
            <w:tcBorders>
              <w:top w:val="single" w:sz="8" w:space="0" w:color="000000"/>
              <w:left w:val="single" w:sz="8" w:space="0" w:color="000000"/>
              <w:bottom w:val="single" w:sz="8" w:space="0" w:color="000000"/>
              <w:right w:val="single" w:sz="8" w:space="0" w:color="000000"/>
            </w:tcBorders>
          </w:tcPr>
          <w:p w14:paraId="70408C91" w14:textId="77777777" w:rsidR="00023F99" w:rsidRDefault="00523346">
            <w:pPr>
              <w:pStyle w:val="TableParagraph"/>
              <w:spacing w:line="182" w:lineRule="exact"/>
              <w:ind w:left="17" w:right="4"/>
              <w:rPr>
                <w:sz w:val="16"/>
              </w:rPr>
            </w:pPr>
            <w:r>
              <w:rPr>
                <w:sz w:val="16"/>
                <w:lang w:val="fr-CA"/>
              </w:rPr>
              <w:t>11</w:t>
            </w:r>
          </w:p>
        </w:tc>
        <w:tc>
          <w:tcPr>
            <w:tcW w:w="4491" w:type="dxa"/>
            <w:tcBorders>
              <w:top w:val="single" w:sz="8" w:space="0" w:color="000000"/>
              <w:left w:val="single" w:sz="8" w:space="0" w:color="000000"/>
              <w:bottom w:val="single" w:sz="8" w:space="0" w:color="000000"/>
              <w:right w:val="single" w:sz="8" w:space="0" w:color="000000"/>
            </w:tcBorders>
          </w:tcPr>
          <w:p w14:paraId="775D8E55" w14:textId="77777777" w:rsidR="00023F99" w:rsidRPr="006E0392" w:rsidRDefault="00523346">
            <w:pPr>
              <w:pStyle w:val="TableParagraph"/>
              <w:spacing w:line="182" w:lineRule="exact"/>
              <w:ind w:left="102"/>
              <w:jc w:val="left"/>
              <w:rPr>
                <w:sz w:val="16"/>
                <w:lang w:val="fr-FR"/>
              </w:rPr>
            </w:pPr>
            <w:r>
              <w:rPr>
                <w:sz w:val="16"/>
                <w:lang w:val="fr-CA"/>
              </w:rPr>
              <w:t>Obtention ou acquisition de biens, de services ou d’installations</w:t>
            </w:r>
          </w:p>
        </w:tc>
        <w:tc>
          <w:tcPr>
            <w:tcW w:w="2536" w:type="dxa"/>
            <w:tcBorders>
              <w:top w:val="single" w:sz="8" w:space="0" w:color="000000"/>
              <w:left w:val="single" w:sz="8" w:space="0" w:color="000000"/>
              <w:bottom w:val="single" w:sz="8" w:space="0" w:color="000000"/>
              <w:right w:val="single" w:sz="8" w:space="0" w:color="000000"/>
            </w:tcBorders>
          </w:tcPr>
          <w:p w14:paraId="5B2A563A" w14:textId="77777777" w:rsidR="00023F99" w:rsidRDefault="00523346">
            <w:pPr>
              <w:pStyle w:val="TableParagraph"/>
              <w:spacing w:line="182" w:lineRule="exact"/>
              <w:ind w:right="1"/>
              <w:rPr>
                <w:sz w:val="16"/>
              </w:rPr>
            </w:pPr>
            <w:r>
              <w:rPr>
                <w:sz w:val="16"/>
                <w:lang w:val="fr-CA"/>
              </w:rPr>
              <w:t>1</w:t>
            </w:r>
            <w:r>
              <w:rPr>
                <w:sz w:val="16"/>
                <w:vertAlign w:val="superscript"/>
                <w:lang w:val="fr-CA"/>
              </w:rPr>
              <w:t>er</w:t>
            </w:r>
            <w:r>
              <w:rPr>
                <w:sz w:val="16"/>
                <w:lang w:val="fr-CA"/>
              </w:rPr>
              <w:t> janvier 2013</w:t>
            </w:r>
          </w:p>
        </w:tc>
      </w:tr>
      <w:tr w:rsidR="00023F99" w14:paraId="149DFB20" w14:textId="77777777" w:rsidTr="008455AE">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26A188A4" w14:textId="77777777" w:rsidR="00023F99" w:rsidRDefault="00523346">
            <w:pPr>
              <w:pStyle w:val="TableParagraph"/>
              <w:rPr>
                <w:sz w:val="16"/>
              </w:rPr>
            </w:pPr>
            <w:r>
              <w:rPr>
                <w:sz w:val="16"/>
                <w:lang w:val="fr-CA"/>
              </w:rPr>
              <w:t>Article 6 des NAI</w:t>
            </w:r>
          </w:p>
        </w:tc>
        <w:tc>
          <w:tcPr>
            <w:tcW w:w="908" w:type="dxa"/>
            <w:tcBorders>
              <w:top w:val="single" w:sz="8" w:space="0" w:color="000000"/>
              <w:left w:val="single" w:sz="8" w:space="0" w:color="000000"/>
              <w:bottom w:val="single" w:sz="8" w:space="0" w:color="000000"/>
              <w:right w:val="single" w:sz="8" w:space="0" w:color="000000"/>
            </w:tcBorders>
          </w:tcPr>
          <w:p w14:paraId="1E03D56C" w14:textId="77777777" w:rsidR="00023F99" w:rsidRDefault="00523346">
            <w:pPr>
              <w:pStyle w:val="TableParagraph"/>
              <w:ind w:left="17" w:right="4"/>
              <w:rPr>
                <w:sz w:val="16"/>
              </w:rPr>
            </w:pPr>
            <w:r>
              <w:rPr>
                <w:sz w:val="16"/>
                <w:lang w:val="fr-CA"/>
              </w:rPr>
              <w:t>18</w:t>
            </w:r>
          </w:p>
        </w:tc>
        <w:tc>
          <w:tcPr>
            <w:tcW w:w="4491" w:type="dxa"/>
            <w:tcBorders>
              <w:top w:val="single" w:sz="8" w:space="0" w:color="000000"/>
              <w:left w:val="single" w:sz="8" w:space="0" w:color="000000"/>
              <w:bottom w:val="single" w:sz="8" w:space="0" w:color="000000"/>
              <w:right w:val="single" w:sz="8" w:space="0" w:color="000000"/>
            </w:tcBorders>
          </w:tcPr>
          <w:p w14:paraId="141F528D" w14:textId="77777777" w:rsidR="00023F99" w:rsidRDefault="00523346">
            <w:pPr>
              <w:pStyle w:val="TableParagraph"/>
              <w:ind w:left="102"/>
              <w:jc w:val="left"/>
              <w:rPr>
                <w:sz w:val="16"/>
              </w:rPr>
            </w:pPr>
            <w:r>
              <w:rPr>
                <w:sz w:val="16"/>
                <w:lang w:val="fr-CA"/>
              </w:rPr>
              <w:t>Guichets libre-service</w:t>
            </w:r>
          </w:p>
        </w:tc>
        <w:tc>
          <w:tcPr>
            <w:tcW w:w="2536" w:type="dxa"/>
            <w:tcBorders>
              <w:top w:val="single" w:sz="8" w:space="0" w:color="000000"/>
              <w:left w:val="single" w:sz="8" w:space="0" w:color="000000"/>
              <w:bottom w:val="single" w:sz="8" w:space="0" w:color="000000"/>
              <w:right w:val="single" w:sz="8" w:space="0" w:color="000000"/>
            </w:tcBorders>
          </w:tcPr>
          <w:p w14:paraId="10AE9530"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2014</w:t>
            </w:r>
          </w:p>
        </w:tc>
      </w:tr>
      <w:tr w:rsidR="00023F99" w:rsidRPr="002052DC" w14:paraId="243F6359" w14:textId="77777777" w:rsidTr="008455AE">
        <w:trPr>
          <w:cantSplit/>
          <w:trHeight w:val="183"/>
        </w:trPr>
        <w:tc>
          <w:tcPr>
            <w:tcW w:w="9574" w:type="dxa"/>
            <w:gridSpan w:val="4"/>
            <w:tcBorders>
              <w:top w:val="single" w:sz="8" w:space="0" w:color="000000"/>
              <w:left w:val="single" w:sz="8" w:space="0" w:color="000000"/>
              <w:bottom w:val="single" w:sz="8" w:space="0" w:color="000000"/>
              <w:right w:val="single" w:sz="8" w:space="0" w:color="000000"/>
            </w:tcBorders>
            <w:shd w:val="clear" w:color="auto" w:fill="D9ECFF"/>
          </w:tcPr>
          <w:p w14:paraId="0BB7C64E" w14:textId="77777777" w:rsidR="00023F99" w:rsidRPr="006E0392" w:rsidRDefault="00523346">
            <w:pPr>
              <w:pStyle w:val="TableParagraph"/>
              <w:ind w:left="112"/>
              <w:jc w:val="left"/>
              <w:rPr>
                <w:b/>
                <w:sz w:val="16"/>
                <w:lang w:val="fr-FR"/>
              </w:rPr>
            </w:pPr>
            <w:r>
              <w:rPr>
                <w:sz w:val="16"/>
                <w:lang w:val="fr-CA"/>
              </w:rPr>
              <w:t>&gt;</w:t>
            </w:r>
            <w:r>
              <w:rPr>
                <w:b/>
                <w:bCs/>
                <w:sz w:val="16"/>
                <w:lang w:val="fr-CA"/>
              </w:rPr>
              <w:t xml:space="preserve"> Partie II – Normes pour l’information et les communications</w:t>
            </w:r>
          </w:p>
        </w:tc>
      </w:tr>
      <w:tr w:rsidR="00023F99" w14:paraId="04EE5A6B"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2ED30BF9" w14:textId="77777777" w:rsidR="00023F99" w:rsidRDefault="00523346">
            <w:pPr>
              <w:pStyle w:val="TableParagraph"/>
              <w:ind w:right="4"/>
              <w:rPr>
                <w:sz w:val="16"/>
              </w:rPr>
            </w:pPr>
            <w:r>
              <w:rPr>
                <w:sz w:val="16"/>
                <w:lang w:val="fr-CA"/>
              </w:rPr>
              <w:t>Article 13 des NAI</w:t>
            </w:r>
          </w:p>
        </w:tc>
        <w:tc>
          <w:tcPr>
            <w:tcW w:w="908" w:type="dxa"/>
            <w:tcBorders>
              <w:top w:val="single" w:sz="8" w:space="0" w:color="000000"/>
              <w:left w:val="single" w:sz="8" w:space="0" w:color="000000"/>
              <w:bottom w:val="single" w:sz="8" w:space="0" w:color="000000"/>
              <w:right w:val="single" w:sz="8" w:space="0" w:color="000000"/>
            </w:tcBorders>
          </w:tcPr>
          <w:p w14:paraId="717F2399" w14:textId="77777777" w:rsidR="00023F99" w:rsidRDefault="00523346">
            <w:pPr>
              <w:pStyle w:val="TableParagraph"/>
              <w:ind w:left="17" w:right="4"/>
              <w:rPr>
                <w:sz w:val="16"/>
              </w:rPr>
            </w:pPr>
            <w:r>
              <w:rPr>
                <w:sz w:val="16"/>
                <w:lang w:val="fr-CA"/>
              </w:rPr>
              <w:t>11</w:t>
            </w:r>
          </w:p>
        </w:tc>
        <w:tc>
          <w:tcPr>
            <w:tcW w:w="4491" w:type="dxa"/>
            <w:tcBorders>
              <w:top w:val="single" w:sz="8" w:space="0" w:color="000000"/>
              <w:left w:val="single" w:sz="8" w:space="0" w:color="000000"/>
              <w:bottom w:val="single" w:sz="8" w:space="0" w:color="000000"/>
              <w:right w:val="single" w:sz="8" w:space="0" w:color="000000"/>
            </w:tcBorders>
          </w:tcPr>
          <w:p w14:paraId="3585A41C" w14:textId="77777777" w:rsidR="00023F99" w:rsidRPr="006E0392" w:rsidRDefault="00523346">
            <w:pPr>
              <w:pStyle w:val="TableParagraph"/>
              <w:ind w:left="102"/>
              <w:jc w:val="left"/>
              <w:rPr>
                <w:sz w:val="16"/>
                <w:lang w:val="fr-FR"/>
              </w:rPr>
            </w:pPr>
            <w:r>
              <w:rPr>
                <w:sz w:val="16"/>
                <w:lang w:val="fr-CA"/>
              </w:rPr>
              <w:t>Renseignements sur les mesures ou plans d’urgence ou la sécurité publique</w:t>
            </w:r>
          </w:p>
        </w:tc>
        <w:tc>
          <w:tcPr>
            <w:tcW w:w="2536" w:type="dxa"/>
            <w:tcBorders>
              <w:top w:val="single" w:sz="8" w:space="0" w:color="000000"/>
              <w:left w:val="single" w:sz="8" w:space="0" w:color="000000"/>
              <w:bottom w:val="single" w:sz="8" w:space="0" w:color="000000"/>
              <w:right w:val="single" w:sz="8" w:space="0" w:color="000000"/>
            </w:tcBorders>
          </w:tcPr>
          <w:p w14:paraId="62F5A601"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2012</w:t>
            </w:r>
          </w:p>
        </w:tc>
      </w:tr>
      <w:tr w:rsidR="00023F99" w14:paraId="35DD4481" w14:textId="77777777" w:rsidTr="008455AE">
        <w:trPr>
          <w:cantSplit/>
          <w:trHeight w:val="368"/>
        </w:trPr>
        <w:tc>
          <w:tcPr>
            <w:tcW w:w="1639" w:type="dxa"/>
            <w:vMerge w:val="restart"/>
            <w:tcBorders>
              <w:top w:val="single" w:sz="8" w:space="0" w:color="000000"/>
              <w:left w:val="single" w:sz="8" w:space="0" w:color="000000"/>
              <w:bottom w:val="single" w:sz="8" w:space="0" w:color="000000"/>
              <w:right w:val="single" w:sz="8" w:space="0" w:color="000000"/>
            </w:tcBorders>
          </w:tcPr>
          <w:p w14:paraId="470F7D7B" w14:textId="77777777" w:rsidR="00023F99" w:rsidRDefault="00523346">
            <w:pPr>
              <w:pStyle w:val="TableParagraph"/>
              <w:spacing w:line="180" w:lineRule="exact"/>
              <w:ind w:right="3"/>
              <w:rPr>
                <w:sz w:val="16"/>
              </w:rPr>
            </w:pPr>
            <w:r>
              <w:rPr>
                <w:sz w:val="16"/>
                <w:lang w:val="fr-CA"/>
              </w:rPr>
              <w:t>Article 14 des NAI</w:t>
            </w:r>
          </w:p>
        </w:tc>
        <w:tc>
          <w:tcPr>
            <w:tcW w:w="908" w:type="dxa"/>
            <w:vMerge w:val="restart"/>
            <w:tcBorders>
              <w:top w:val="single" w:sz="8" w:space="0" w:color="000000"/>
              <w:left w:val="single" w:sz="8" w:space="0" w:color="000000"/>
              <w:bottom w:val="single" w:sz="8" w:space="0" w:color="000000"/>
              <w:right w:val="single" w:sz="8" w:space="0" w:color="000000"/>
            </w:tcBorders>
          </w:tcPr>
          <w:p w14:paraId="384DC3E1" w14:textId="77777777" w:rsidR="00023F99" w:rsidRDefault="00523346">
            <w:pPr>
              <w:pStyle w:val="TableParagraph"/>
              <w:spacing w:line="180" w:lineRule="exact"/>
              <w:ind w:left="13"/>
              <w:rPr>
                <w:sz w:val="16"/>
              </w:rPr>
            </w:pPr>
            <w:r>
              <w:rPr>
                <w:sz w:val="16"/>
                <w:lang w:val="fr-CA"/>
              </w:rPr>
              <w:t>11</w:t>
            </w:r>
          </w:p>
        </w:tc>
        <w:tc>
          <w:tcPr>
            <w:tcW w:w="4491" w:type="dxa"/>
            <w:tcBorders>
              <w:top w:val="single" w:sz="8" w:space="0" w:color="000000"/>
              <w:left w:val="single" w:sz="8" w:space="0" w:color="000000"/>
              <w:bottom w:val="single" w:sz="8" w:space="0" w:color="000000"/>
              <w:right w:val="single" w:sz="8" w:space="0" w:color="000000"/>
            </w:tcBorders>
          </w:tcPr>
          <w:p w14:paraId="1A6073AB" w14:textId="77777777" w:rsidR="00023F99" w:rsidRPr="006E0392" w:rsidRDefault="00523346">
            <w:pPr>
              <w:pStyle w:val="TableParagraph"/>
              <w:spacing w:line="180" w:lineRule="exact"/>
              <w:ind w:left="102"/>
              <w:jc w:val="left"/>
              <w:rPr>
                <w:sz w:val="16"/>
                <w:lang w:val="fr-FR"/>
              </w:rPr>
            </w:pPr>
            <w:r>
              <w:rPr>
                <w:sz w:val="16"/>
                <w:lang w:val="fr-CA"/>
              </w:rPr>
              <w:t>Sites et contenus Web accessibles :</w:t>
            </w:r>
          </w:p>
          <w:p w14:paraId="0142344D" w14:textId="77777777" w:rsidR="00023F99" w:rsidRDefault="00523346">
            <w:pPr>
              <w:pStyle w:val="TableParagraph"/>
              <w:spacing w:before="1" w:line="168" w:lineRule="exact"/>
              <w:ind w:left="2994"/>
              <w:jc w:val="left"/>
              <w:rPr>
                <w:sz w:val="16"/>
              </w:rPr>
            </w:pPr>
            <w:r>
              <w:rPr>
                <w:sz w:val="16"/>
                <w:lang w:val="fr-CA"/>
              </w:rPr>
              <w:t>– nouveau contenu</w:t>
            </w:r>
          </w:p>
        </w:tc>
        <w:tc>
          <w:tcPr>
            <w:tcW w:w="2536" w:type="dxa"/>
            <w:tcBorders>
              <w:top w:val="single" w:sz="8" w:space="0" w:color="000000"/>
              <w:left w:val="single" w:sz="8" w:space="0" w:color="000000"/>
              <w:bottom w:val="single" w:sz="8" w:space="0" w:color="000000"/>
              <w:right w:val="single" w:sz="8" w:space="0" w:color="000000"/>
            </w:tcBorders>
          </w:tcPr>
          <w:p w14:paraId="63DD24E5" w14:textId="77777777" w:rsidR="00023F99" w:rsidRDefault="00523346">
            <w:pPr>
              <w:pStyle w:val="TableParagraph"/>
              <w:spacing w:before="180" w:line="168" w:lineRule="exact"/>
              <w:ind w:right="1"/>
              <w:rPr>
                <w:sz w:val="16"/>
              </w:rPr>
            </w:pPr>
            <w:r>
              <w:rPr>
                <w:sz w:val="16"/>
                <w:lang w:val="fr-CA"/>
              </w:rPr>
              <w:t>1</w:t>
            </w:r>
            <w:r>
              <w:rPr>
                <w:sz w:val="16"/>
                <w:vertAlign w:val="superscript"/>
                <w:lang w:val="fr-CA"/>
              </w:rPr>
              <w:t>er </w:t>
            </w:r>
            <w:r>
              <w:rPr>
                <w:sz w:val="16"/>
                <w:lang w:val="fr-CA"/>
              </w:rPr>
              <w:t>janvier 2014</w:t>
            </w:r>
          </w:p>
        </w:tc>
      </w:tr>
      <w:tr w:rsidR="00023F99" w14:paraId="3032FB0A" w14:textId="77777777" w:rsidTr="008455AE">
        <w:trPr>
          <w:cantSplit/>
          <w:trHeight w:val="183"/>
        </w:trPr>
        <w:tc>
          <w:tcPr>
            <w:tcW w:w="1639" w:type="dxa"/>
            <w:vMerge/>
            <w:tcBorders>
              <w:top w:val="nil"/>
              <w:left w:val="single" w:sz="8" w:space="0" w:color="000000"/>
              <w:bottom w:val="single" w:sz="8" w:space="0" w:color="000000"/>
              <w:right w:val="single" w:sz="8" w:space="0" w:color="000000"/>
            </w:tcBorders>
          </w:tcPr>
          <w:p w14:paraId="0499C99B" w14:textId="77777777" w:rsidR="00023F99" w:rsidRDefault="00023F99">
            <w:pPr>
              <w:rPr>
                <w:sz w:val="2"/>
                <w:szCs w:val="2"/>
              </w:rPr>
            </w:pPr>
          </w:p>
        </w:tc>
        <w:tc>
          <w:tcPr>
            <w:tcW w:w="908" w:type="dxa"/>
            <w:vMerge/>
            <w:tcBorders>
              <w:top w:val="nil"/>
              <w:left w:val="single" w:sz="8" w:space="0" w:color="000000"/>
              <w:bottom w:val="single" w:sz="8" w:space="0" w:color="000000"/>
              <w:right w:val="single" w:sz="8" w:space="0" w:color="000000"/>
            </w:tcBorders>
          </w:tcPr>
          <w:p w14:paraId="1AD7F064" w14:textId="77777777" w:rsidR="00023F99" w:rsidRDefault="00023F99">
            <w:pPr>
              <w:rPr>
                <w:sz w:val="2"/>
                <w:szCs w:val="2"/>
              </w:rPr>
            </w:pPr>
          </w:p>
        </w:tc>
        <w:tc>
          <w:tcPr>
            <w:tcW w:w="4491" w:type="dxa"/>
            <w:tcBorders>
              <w:top w:val="single" w:sz="8" w:space="0" w:color="000000"/>
              <w:left w:val="single" w:sz="8" w:space="0" w:color="000000"/>
              <w:bottom w:val="single" w:sz="8" w:space="0" w:color="000000"/>
              <w:right w:val="single" w:sz="8" w:space="0" w:color="000000"/>
            </w:tcBorders>
          </w:tcPr>
          <w:p w14:paraId="692DDED4" w14:textId="77777777" w:rsidR="00023F99" w:rsidRDefault="00523346">
            <w:pPr>
              <w:pStyle w:val="TableParagraph"/>
              <w:ind w:left="0" w:right="266"/>
              <w:jc w:val="right"/>
              <w:rPr>
                <w:sz w:val="16"/>
              </w:rPr>
            </w:pPr>
            <w:r>
              <w:rPr>
                <w:sz w:val="16"/>
                <w:lang w:val="fr-CA"/>
              </w:rPr>
              <w:t>– contenu actuel</w:t>
            </w:r>
          </w:p>
        </w:tc>
        <w:tc>
          <w:tcPr>
            <w:tcW w:w="2536" w:type="dxa"/>
            <w:tcBorders>
              <w:top w:val="single" w:sz="8" w:space="0" w:color="000000"/>
              <w:left w:val="single" w:sz="8" w:space="0" w:color="000000"/>
              <w:bottom w:val="single" w:sz="8" w:space="0" w:color="000000"/>
              <w:right w:val="single" w:sz="8" w:space="0" w:color="000000"/>
            </w:tcBorders>
          </w:tcPr>
          <w:p w14:paraId="1FCA5531"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2021</w:t>
            </w:r>
          </w:p>
        </w:tc>
      </w:tr>
      <w:tr w:rsidR="00023F99" w:rsidRPr="002052DC" w14:paraId="4E68F814" w14:textId="77777777" w:rsidTr="008455AE">
        <w:trPr>
          <w:cantSplit/>
          <w:trHeight w:val="183"/>
        </w:trPr>
        <w:tc>
          <w:tcPr>
            <w:tcW w:w="9574" w:type="dxa"/>
            <w:gridSpan w:val="4"/>
            <w:tcBorders>
              <w:top w:val="single" w:sz="8" w:space="0" w:color="000000"/>
              <w:left w:val="single" w:sz="8" w:space="0" w:color="000000"/>
              <w:bottom w:val="single" w:sz="8" w:space="0" w:color="000000"/>
              <w:right w:val="single" w:sz="8" w:space="0" w:color="000000"/>
            </w:tcBorders>
            <w:shd w:val="clear" w:color="auto" w:fill="D9ECFF"/>
          </w:tcPr>
          <w:p w14:paraId="2ED577FD" w14:textId="77777777" w:rsidR="00023F99" w:rsidRPr="006E0392" w:rsidRDefault="00523346">
            <w:pPr>
              <w:pStyle w:val="TableParagraph"/>
              <w:ind w:left="112"/>
              <w:jc w:val="left"/>
              <w:rPr>
                <w:b/>
                <w:sz w:val="16"/>
                <w:lang w:val="fr-FR"/>
              </w:rPr>
            </w:pPr>
            <w:r>
              <w:rPr>
                <w:sz w:val="16"/>
                <w:lang w:val="fr-CA"/>
              </w:rPr>
              <w:t>&gt;</w:t>
            </w:r>
            <w:r>
              <w:rPr>
                <w:b/>
                <w:bCs/>
                <w:sz w:val="16"/>
                <w:lang w:val="fr-CA"/>
              </w:rPr>
              <w:t xml:space="preserve"> Partie III – Normes pour l’emploi</w:t>
            </w:r>
          </w:p>
        </w:tc>
      </w:tr>
      <w:tr w:rsidR="00023F99" w14:paraId="4A978A15"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2C0208EF" w14:textId="77777777" w:rsidR="00023F99" w:rsidRDefault="00523346">
            <w:pPr>
              <w:pStyle w:val="TableParagraph"/>
              <w:ind w:right="3"/>
              <w:rPr>
                <w:sz w:val="16"/>
              </w:rPr>
            </w:pPr>
            <w:r>
              <w:rPr>
                <w:sz w:val="16"/>
                <w:lang w:val="fr-CA"/>
              </w:rPr>
              <w:t>Article 22 des NAI</w:t>
            </w:r>
          </w:p>
        </w:tc>
        <w:tc>
          <w:tcPr>
            <w:tcW w:w="908" w:type="dxa"/>
            <w:tcBorders>
              <w:top w:val="single" w:sz="8" w:space="0" w:color="000000"/>
              <w:left w:val="single" w:sz="8" w:space="0" w:color="000000"/>
              <w:bottom w:val="single" w:sz="8" w:space="0" w:color="000000"/>
              <w:right w:val="single" w:sz="8" w:space="0" w:color="000000"/>
            </w:tcBorders>
          </w:tcPr>
          <w:p w14:paraId="651D815A" w14:textId="77777777" w:rsidR="00023F99" w:rsidRDefault="00523346">
            <w:pPr>
              <w:pStyle w:val="TableParagraph"/>
              <w:ind w:left="17" w:right="4"/>
              <w:rPr>
                <w:sz w:val="16"/>
              </w:rPr>
            </w:pPr>
            <w:r>
              <w:rPr>
                <w:sz w:val="16"/>
                <w:lang w:val="fr-CA"/>
              </w:rPr>
              <w:t>11</w:t>
            </w:r>
          </w:p>
        </w:tc>
        <w:tc>
          <w:tcPr>
            <w:tcW w:w="4491" w:type="dxa"/>
            <w:tcBorders>
              <w:top w:val="single" w:sz="8" w:space="0" w:color="000000"/>
              <w:left w:val="single" w:sz="8" w:space="0" w:color="000000"/>
              <w:bottom w:val="single" w:sz="8" w:space="0" w:color="000000"/>
              <w:right w:val="single" w:sz="8" w:space="0" w:color="000000"/>
            </w:tcBorders>
          </w:tcPr>
          <w:p w14:paraId="37F8534E" w14:textId="77777777" w:rsidR="00023F99" w:rsidRDefault="00523346">
            <w:pPr>
              <w:pStyle w:val="TableParagraph"/>
              <w:ind w:left="102"/>
              <w:jc w:val="left"/>
              <w:rPr>
                <w:sz w:val="16"/>
              </w:rPr>
            </w:pPr>
            <w:r>
              <w:rPr>
                <w:sz w:val="16"/>
                <w:lang w:val="fr-CA"/>
              </w:rPr>
              <w:t>Recrutement : dispositions générales</w:t>
            </w:r>
          </w:p>
        </w:tc>
        <w:tc>
          <w:tcPr>
            <w:tcW w:w="2536" w:type="dxa"/>
            <w:tcBorders>
              <w:top w:val="single" w:sz="8" w:space="0" w:color="000000"/>
              <w:left w:val="single" w:sz="8" w:space="0" w:color="000000"/>
              <w:bottom w:val="single" w:sz="8" w:space="0" w:color="000000"/>
              <w:right w:val="single" w:sz="8" w:space="0" w:color="000000"/>
            </w:tcBorders>
          </w:tcPr>
          <w:p w14:paraId="4CA0A99B"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2014</w:t>
            </w:r>
          </w:p>
        </w:tc>
      </w:tr>
      <w:tr w:rsidR="00023F99" w14:paraId="10AA160B" w14:textId="77777777" w:rsidTr="008455AE">
        <w:trPr>
          <w:cantSplit/>
          <w:trHeight w:val="203"/>
        </w:trPr>
        <w:tc>
          <w:tcPr>
            <w:tcW w:w="1639" w:type="dxa"/>
            <w:tcBorders>
              <w:top w:val="single" w:sz="8" w:space="0" w:color="000000"/>
              <w:left w:val="single" w:sz="8" w:space="0" w:color="000000"/>
              <w:bottom w:val="single" w:sz="8" w:space="0" w:color="000000"/>
              <w:right w:val="single" w:sz="8" w:space="0" w:color="000000"/>
            </w:tcBorders>
          </w:tcPr>
          <w:p w14:paraId="32991B40" w14:textId="77777777" w:rsidR="00023F99" w:rsidRDefault="00523346">
            <w:pPr>
              <w:pStyle w:val="TableParagraph"/>
              <w:spacing w:line="180" w:lineRule="exact"/>
              <w:ind w:right="3"/>
              <w:rPr>
                <w:sz w:val="16"/>
              </w:rPr>
            </w:pPr>
            <w:r>
              <w:rPr>
                <w:sz w:val="16"/>
                <w:lang w:val="fr-CA"/>
              </w:rPr>
              <w:t>Article 23 des NAI</w:t>
            </w:r>
          </w:p>
        </w:tc>
        <w:tc>
          <w:tcPr>
            <w:tcW w:w="908" w:type="dxa"/>
            <w:tcBorders>
              <w:top w:val="single" w:sz="8" w:space="0" w:color="000000"/>
              <w:left w:val="single" w:sz="8" w:space="0" w:color="000000"/>
              <w:bottom w:val="single" w:sz="8" w:space="0" w:color="000000"/>
              <w:right w:val="single" w:sz="8" w:space="0" w:color="000000"/>
            </w:tcBorders>
          </w:tcPr>
          <w:p w14:paraId="36B73500" w14:textId="77777777" w:rsidR="00023F99" w:rsidRDefault="00523346">
            <w:pPr>
              <w:pStyle w:val="TableParagraph"/>
              <w:spacing w:line="180" w:lineRule="exact"/>
              <w:ind w:left="17" w:right="4"/>
              <w:rPr>
                <w:sz w:val="16"/>
              </w:rPr>
            </w:pPr>
            <w:r>
              <w:rPr>
                <w:sz w:val="16"/>
                <w:lang w:val="fr-CA"/>
              </w:rPr>
              <w:t>11</w:t>
            </w:r>
          </w:p>
        </w:tc>
        <w:tc>
          <w:tcPr>
            <w:tcW w:w="4491" w:type="dxa"/>
            <w:tcBorders>
              <w:top w:val="single" w:sz="8" w:space="0" w:color="000000"/>
              <w:left w:val="single" w:sz="8" w:space="0" w:color="000000"/>
              <w:bottom w:val="single" w:sz="8" w:space="0" w:color="000000"/>
              <w:right w:val="single" w:sz="8" w:space="0" w:color="000000"/>
            </w:tcBorders>
          </w:tcPr>
          <w:p w14:paraId="2D79172B" w14:textId="77777777" w:rsidR="00023F99" w:rsidRPr="006E0392" w:rsidRDefault="00523346">
            <w:pPr>
              <w:pStyle w:val="TableParagraph"/>
              <w:spacing w:line="180" w:lineRule="exact"/>
              <w:ind w:left="102"/>
              <w:jc w:val="left"/>
              <w:rPr>
                <w:sz w:val="16"/>
                <w:lang w:val="fr-FR"/>
              </w:rPr>
            </w:pPr>
            <w:r>
              <w:rPr>
                <w:sz w:val="16"/>
                <w:lang w:val="fr-CA"/>
              </w:rPr>
              <w:t>Recrutement : processus d’évaluation ou de sélection</w:t>
            </w:r>
          </w:p>
        </w:tc>
        <w:tc>
          <w:tcPr>
            <w:tcW w:w="2536" w:type="dxa"/>
            <w:tcBorders>
              <w:top w:val="single" w:sz="8" w:space="0" w:color="000000"/>
              <w:left w:val="single" w:sz="8" w:space="0" w:color="000000"/>
              <w:bottom w:val="single" w:sz="8" w:space="0" w:color="000000"/>
              <w:right w:val="single" w:sz="8" w:space="0" w:color="000000"/>
            </w:tcBorders>
          </w:tcPr>
          <w:p w14:paraId="197AA21E" w14:textId="77777777" w:rsidR="00023F99" w:rsidRDefault="00523346">
            <w:pPr>
              <w:pStyle w:val="TableParagraph"/>
              <w:spacing w:line="180" w:lineRule="exact"/>
              <w:ind w:right="1"/>
              <w:rPr>
                <w:sz w:val="16"/>
              </w:rPr>
            </w:pPr>
            <w:r>
              <w:rPr>
                <w:sz w:val="16"/>
                <w:lang w:val="fr-CA"/>
              </w:rPr>
              <w:t>1</w:t>
            </w:r>
            <w:r>
              <w:rPr>
                <w:sz w:val="16"/>
                <w:vertAlign w:val="superscript"/>
                <w:lang w:val="fr-CA"/>
              </w:rPr>
              <w:t>er </w:t>
            </w:r>
            <w:r>
              <w:rPr>
                <w:sz w:val="16"/>
                <w:lang w:val="fr-CA"/>
              </w:rPr>
              <w:t>janvier 2014</w:t>
            </w:r>
          </w:p>
        </w:tc>
      </w:tr>
      <w:tr w:rsidR="00023F99" w14:paraId="70A7A0CF" w14:textId="77777777" w:rsidTr="008455AE">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681C5FDD" w14:textId="77777777" w:rsidR="00023F99" w:rsidRDefault="00523346">
            <w:pPr>
              <w:pStyle w:val="TableParagraph"/>
              <w:ind w:right="3"/>
              <w:rPr>
                <w:sz w:val="16"/>
              </w:rPr>
            </w:pPr>
            <w:r>
              <w:rPr>
                <w:sz w:val="16"/>
                <w:lang w:val="fr-CA"/>
              </w:rPr>
              <w:t>Article 24 des NAI</w:t>
            </w:r>
          </w:p>
        </w:tc>
        <w:tc>
          <w:tcPr>
            <w:tcW w:w="908" w:type="dxa"/>
            <w:tcBorders>
              <w:top w:val="single" w:sz="8" w:space="0" w:color="000000"/>
              <w:left w:val="single" w:sz="8" w:space="0" w:color="000000"/>
              <w:bottom w:val="single" w:sz="8" w:space="0" w:color="000000"/>
              <w:right w:val="single" w:sz="8" w:space="0" w:color="000000"/>
            </w:tcBorders>
          </w:tcPr>
          <w:p w14:paraId="23968025" w14:textId="77777777" w:rsidR="00023F99" w:rsidRDefault="00523346">
            <w:pPr>
              <w:pStyle w:val="TableParagraph"/>
              <w:ind w:left="17" w:right="4"/>
              <w:rPr>
                <w:sz w:val="16"/>
              </w:rPr>
            </w:pPr>
            <w:r>
              <w:rPr>
                <w:sz w:val="16"/>
                <w:lang w:val="fr-CA"/>
              </w:rPr>
              <w:t>11</w:t>
            </w:r>
          </w:p>
        </w:tc>
        <w:tc>
          <w:tcPr>
            <w:tcW w:w="4491" w:type="dxa"/>
            <w:tcBorders>
              <w:top w:val="single" w:sz="8" w:space="0" w:color="000000"/>
              <w:left w:val="single" w:sz="8" w:space="0" w:color="000000"/>
              <w:bottom w:val="single" w:sz="8" w:space="0" w:color="000000"/>
              <w:right w:val="single" w:sz="8" w:space="0" w:color="000000"/>
            </w:tcBorders>
          </w:tcPr>
          <w:p w14:paraId="5FBEE3A1" w14:textId="77777777" w:rsidR="00023F99" w:rsidRDefault="00523346">
            <w:pPr>
              <w:pStyle w:val="TableParagraph"/>
              <w:ind w:left="102"/>
              <w:jc w:val="left"/>
              <w:rPr>
                <w:sz w:val="16"/>
              </w:rPr>
            </w:pPr>
            <w:r>
              <w:rPr>
                <w:sz w:val="16"/>
                <w:lang w:val="fr-CA"/>
              </w:rPr>
              <w:t>Avis aux candidats retenus</w:t>
            </w:r>
          </w:p>
        </w:tc>
        <w:tc>
          <w:tcPr>
            <w:tcW w:w="2536" w:type="dxa"/>
            <w:tcBorders>
              <w:top w:val="single" w:sz="8" w:space="0" w:color="000000"/>
              <w:left w:val="single" w:sz="8" w:space="0" w:color="000000"/>
              <w:bottom w:val="single" w:sz="8" w:space="0" w:color="000000"/>
              <w:right w:val="single" w:sz="8" w:space="0" w:color="000000"/>
            </w:tcBorders>
          </w:tcPr>
          <w:p w14:paraId="392F8FAD"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2014</w:t>
            </w:r>
          </w:p>
        </w:tc>
      </w:tr>
      <w:tr w:rsidR="00023F99" w14:paraId="5C99F868"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69D1118B" w14:textId="77777777" w:rsidR="00023F99" w:rsidRDefault="00523346">
            <w:pPr>
              <w:pStyle w:val="TableParagraph"/>
              <w:ind w:right="3"/>
              <w:rPr>
                <w:sz w:val="16"/>
              </w:rPr>
            </w:pPr>
            <w:r>
              <w:rPr>
                <w:sz w:val="16"/>
                <w:lang w:val="fr-CA"/>
              </w:rPr>
              <w:t>Article 25 des NAI</w:t>
            </w:r>
          </w:p>
        </w:tc>
        <w:tc>
          <w:tcPr>
            <w:tcW w:w="908" w:type="dxa"/>
            <w:tcBorders>
              <w:top w:val="single" w:sz="8" w:space="0" w:color="000000"/>
              <w:left w:val="single" w:sz="8" w:space="0" w:color="000000"/>
              <w:bottom w:val="single" w:sz="8" w:space="0" w:color="000000"/>
              <w:right w:val="single" w:sz="8" w:space="0" w:color="000000"/>
            </w:tcBorders>
          </w:tcPr>
          <w:p w14:paraId="149AF484" w14:textId="77777777" w:rsidR="00023F99" w:rsidRDefault="00523346">
            <w:pPr>
              <w:pStyle w:val="TableParagraph"/>
              <w:ind w:left="17" w:right="4"/>
              <w:rPr>
                <w:sz w:val="16"/>
              </w:rPr>
            </w:pPr>
            <w:r>
              <w:rPr>
                <w:sz w:val="16"/>
                <w:lang w:val="fr-CA"/>
              </w:rPr>
              <w:t>11</w:t>
            </w:r>
          </w:p>
        </w:tc>
        <w:tc>
          <w:tcPr>
            <w:tcW w:w="4491" w:type="dxa"/>
            <w:tcBorders>
              <w:top w:val="single" w:sz="8" w:space="0" w:color="000000"/>
              <w:left w:val="single" w:sz="8" w:space="0" w:color="000000"/>
              <w:bottom w:val="single" w:sz="8" w:space="0" w:color="000000"/>
              <w:right w:val="single" w:sz="8" w:space="0" w:color="000000"/>
            </w:tcBorders>
          </w:tcPr>
          <w:p w14:paraId="17A31877" w14:textId="77777777" w:rsidR="00023F99" w:rsidRPr="006E0392" w:rsidRDefault="00523346">
            <w:pPr>
              <w:pStyle w:val="TableParagraph"/>
              <w:ind w:left="102"/>
              <w:jc w:val="left"/>
              <w:rPr>
                <w:sz w:val="16"/>
                <w:lang w:val="fr-FR"/>
              </w:rPr>
            </w:pPr>
            <w:r>
              <w:rPr>
                <w:sz w:val="16"/>
                <w:lang w:val="fr-CA"/>
              </w:rPr>
              <w:t>Renseignements sur les mesures de soutien</w:t>
            </w:r>
          </w:p>
        </w:tc>
        <w:tc>
          <w:tcPr>
            <w:tcW w:w="2536" w:type="dxa"/>
            <w:tcBorders>
              <w:top w:val="single" w:sz="8" w:space="0" w:color="000000"/>
              <w:left w:val="single" w:sz="8" w:space="0" w:color="000000"/>
              <w:bottom w:val="single" w:sz="8" w:space="0" w:color="000000"/>
              <w:right w:val="single" w:sz="8" w:space="0" w:color="000000"/>
            </w:tcBorders>
          </w:tcPr>
          <w:p w14:paraId="66EE3CA8"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2014</w:t>
            </w:r>
          </w:p>
        </w:tc>
      </w:tr>
      <w:tr w:rsidR="00023F99" w14:paraId="3152E195"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19DBA5E5" w14:textId="77777777" w:rsidR="00023F99" w:rsidRDefault="00523346">
            <w:pPr>
              <w:pStyle w:val="TableParagraph"/>
              <w:ind w:right="3"/>
              <w:rPr>
                <w:sz w:val="16"/>
              </w:rPr>
            </w:pPr>
            <w:r>
              <w:rPr>
                <w:sz w:val="16"/>
                <w:lang w:val="fr-CA"/>
              </w:rPr>
              <w:t>Article 27 des NAI</w:t>
            </w:r>
          </w:p>
        </w:tc>
        <w:tc>
          <w:tcPr>
            <w:tcW w:w="908" w:type="dxa"/>
            <w:tcBorders>
              <w:top w:val="single" w:sz="8" w:space="0" w:color="000000"/>
              <w:left w:val="single" w:sz="8" w:space="0" w:color="000000"/>
              <w:bottom w:val="single" w:sz="8" w:space="0" w:color="000000"/>
              <w:right w:val="single" w:sz="8" w:space="0" w:color="000000"/>
            </w:tcBorders>
          </w:tcPr>
          <w:p w14:paraId="1A77FC30" w14:textId="77777777" w:rsidR="00023F99" w:rsidRDefault="00523346">
            <w:pPr>
              <w:pStyle w:val="TableParagraph"/>
              <w:ind w:left="17" w:right="4"/>
              <w:rPr>
                <w:sz w:val="16"/>
              </w:rPr>
            </w:pPr>
            <w:r>
              <w:rPr>
                <w:sz w:val="16"/>
                <w:lang w:val="fr-CA"/>
              </w:rPr>
              <w:t>12</w:t>
            </w:r>
          </w:p>
        </w:tc>
        <w:tc>
          <w:tcPr>
            <w:tcW w:w="4491" w:type="dxa"/>
            <w:tcBorders>
              <w:top w:val="single" w:sz="8" w:space="0" w:color="000000"/>
              <w:left w:val="single" w:sz="8" w:space="0" w:color="000000"/>
              <w:bottom w:val="single" w:sz="8" w:space="0" w:color="000000"/>
              <w:right w:val="single" w:sz="8" w:space="0" w:color="000000"/>
            </w:tcBorders>
          </w:tcPr>
          <w:p w14:paraId="0812878C" w14:textId="77777777" w:rsidR="00023F99" w:rsidRPr="006E0392" w:rsidRDefault="00523346">
            <w:pPr>
              <w:pStyle w:val="TableParagraph"/>
              <w:ind w:left="102"/>
              <w:jc w:val="left"/>
              <w:rPr>
                <w:sz w:val="16"/>
                <w:lang w:val="fr-FR"/>
              </w:rPr>
            </w:pPr>
            <w:r>
              <w:rPr>
                <w:sz w:val="16"/>
                <w:lang w:val="fr-CA"/>
              </w:rPr>
              <w:t>Renseignements relatifs aux interventions d’urgence sur le lieu de travail</w:t>
            </w:r>
          </w:p>
        </w:tc>
        <w:tc>
          <w:tcPr>
            <w:tcW w:w="2536" w:type="dxa"/>
            <w:tcBorders>
              <w:top w:val="single" w:sz="8" w:space="0" w:color="000000"/>
              <w:left w:val="single" w:sz="8" w:space="0" w:color="000000"/>
              <w:bottom w:val="single" w:sz="8" w:space="0" w:color="000000"/>
              <w:right w:val="single" w:sz="8" w:space="0" w:color="000000"/>
            </w:tcBorders>
          </w:tcPr>
          <w:p w14:paraId="49E6AB9F"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2012</w:t>
            </w:r>
          </w:p>
        </w:tc>
      </w:tr>
      <w:tr w:rsidR="00023F99" w14:paraId="2FC9A574" w14:textId="77777777" w:rsidTr="008455AE">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53A4DD68" w14:textId="77777777" w:rsidR="00023F99" w:rsidRDefault="00523346">
            <w:pPr>
              <w:pStyle w:val="TableParagraph"/>
              <w:ind w:right="3"/>
              <w:rPr>
                <w:sz w:val="16"/>
              </w:rPr>
            </w:pPr>
            <w:r>
              <w:rPr>
                <w:sz w:val="16"/>
                <w:lang w:val="fr-CA"/>
              </w:rPr>
              <w:t>Article 28 des NAI</w:t>
            </w:r>
          </w:p>
        </w:tc>
        <w:tc>
          <w:tcPr>
            <w:tcW w:w="908" w:type="dxa"/>
            <w:tcBorders>
              <w:top w:val="single" w:sz="8" w:space="0" w:color="000000"/>
              <w:left w:val="single" w:sz="8" w:space="0" w:color="000000"/>
              <w:bottom w:val="single" w:sz="8" w:space="0" w:color="000000"/>
              <w:right w:val="single" w:sz="8" w:space="0" w:color="000000"/>
            </w:tcBorders>
          </w:tcPr>
          <w:p w14:paraId="76CEB52C" w14:textId="77777777" w:rsidR="00023F99" w:rsidRDefault="00523346">
            <w:pPr>
              <w:pStyle w:val="TableParagraph"/>
              <w:ind w:left="17" w:right="4"/>
              <w:rPr>
                <w:sz w:val="16"/>
              </w:rPr>
            </w:pPr>
            <w:r>
              <w:rPr>
                <w:sz w:val="16"/>
                <w:lang w:val="fr-CA"/>
              </w:rPr>
              <w:t>12</w:t>
            </w:r>
          </w:p>
        </w:tc>
        <w:tc>
          <w:tcPr>
            <w:tcW w:w="4491" w:type="dxa"/>
            <w:tcBorders>
              <w:top w:val="single" w:sz="8" w:space="0" w:color="000000"/>
              <w:left w:val="single" w:sz="8" w:space="0" w:color="000000"/>
              <w:bottom w:val="single" w:sz="8" w:space="0" w:color="000000"/>
              <w:right w:val="single" w:sz="8" w:space="0" w:color="000000"/>
            </w:tcBorders>
          </w:tcPr>
          <w:p w14:paraId="73094361" w14:textId="77777777" w:rsidR="00023F99" w:rsidRPr="006E0392" w:rsidRDefault="00523346">
            <w:pPr>
              <w:pStyle w:val="TableParagraph"/>
              <w:ind w:left="102"/>
              <w:jc w:val="left"/>
              <w:rPr>
                <w:sz w:val="16"/>
                <w:lang w:val="fr-FR"/>
              </w:rPr>
            </w:pPr>
            <w:r>
              <w:rPr>
                <w:sz w:val="16"/>
                <w:lang w:val="fr-CA"/>
              </w:rPr>
              <w:t>Plans d’adaptation individualisés et documentés</w:t>
            </w:r>
          </w:p>
        </w:tc>
        <w:tc>
          <w:tcPr>
            <w:tcW w:w="2536" w:type="dxa"/>
            <w:tcBorders>
              <w:top w:val="single" w:sz="8" w:space="0" w:color="000000"/>
              <w:left w:val="single" w:sz="8" w:space="0" w:color="000000"/>
              <w:bottom w:val="single" w:sz="8" w:space="0" w:color="000000"/>
              <w:right w:val="single" w:sz="8" w:space="0" w:color="000000"/>
            </w:tcBorders>
          </w:tcPr>
          <w:p w14:paraId="456ADDBE"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2014</w:t>
            </w:r>
          </w:p>
        </w:tc>
      </w:tr>
      <w:tr w:rsidR="00023F99" w14:paraId="69CF00A0"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65DD2E67" w14:textId="77777777" w:rsidR="00023F99" w:rsidRDefault="00523346">
            <w:pPr>
              <w:pStyle w:val="TableParagraph"/>
              <w:ind w:right="3"/>
              <w:rPr>
                <w:sz w:val="16"/>
              </w:rPr>
            </w:pPr>
            <w:r>
              <w:rPr>
                <w:sz w:val="16"/>
                <w:lang w:val="fr-CA"/>
              </w:rPr>
              <w:t>Article 29 des NAI</w:t>
            </w:r>
          </w:p>
        </w:tc>
        <w:tc>
          <w:tcPr>
            <w:tcW w:w="908" w:type="dxa"/>
            <w:tcBorders>
              <w:top w:val="single" w:sz="8" w:space="0" w:color="000000"/>
              <w:left w:val="single" w:sz="8" w:space="0" w:color="000000"/>
              <w:bottom w:val="single" w:sz="8" w:space="0" w:color="000000"/>
              <w:right w:val="single" w:sz="8" w:space="0" w:color="000000"/>
            </w:tcBorders>
          </w:tcPr>
          <w:p w14:paraId="714A0865" w14:textId="77777777" w:rsidR="00023F99" w:rsidRDefault="00523346">
            <w:pPr>
              <w:pStyle w:val="TableParagraph"/>
              <w:ind w:left="17" w:right="4"/>
              <w:rPr>
                <w:sz w:val="16"/>
              </w:rPr>
            </w:pPr>
            <w:r>
              <w:rPr>
                <w:sz w:val="16"/>
                <w:lang w:val="fr-CA"/>
              </w:rPr>
              <w:t>12</w:t>
            </w:r>
          </w:p>
        </w:tc>
        <w:tc>
          <w:tcPr>
            <w:tcW w:w="4491" w:type="dxa"/>
            <w:tcBorders>
              <w:top w:val="single" w:sz="8" w:space="0" w:color="000000"/>
              <w:left w:val="single" w:sz="8" w:space="0" w:color="000000"/>
              <w:bottom w:val="single" w:sz="8" w:space="0" w:color="000000"/>
              <w:right w:val="single" w:sz="8" w:space="0" w:color="000000"/>
            </w:tcBorders>
          </w:tcPr>
          <w:p w14:paraId="403108DF" w14:textId="77777777" w:rsidR="00023F99" w:rsidRPr="006E0392" w:rsidRDefault="00523346">
            <w:pPr>
              <w:pStyle w:val="TableParagraph"/>
              <w:ind w:left="102"/>
              <w:jc w:val="left"/>
              <w:rPr>
                <w:sz w:val="16"/>
                <w:lang w:val="fr-FR"/>
              </w:rPr>
            </w:pPr>
            <w:r>
              <w:rPr>
                <w:sz w:val="16"/>
                <w:lang w:val="fr-CA"/>
              </w:rPr>
              <w:t>Processus de retour au travail</w:t>
            </w:r>
          </w:p>
        </w:tc>
        <w:tc>
          <w:tcPr>
            <w:tcW w:w="2536" w:type="dxa"/>
            <w:tcBorders>
              <w:top w:val="single" w:sz="8" w:space="0" w:color="000000"/>
              <w:left w:val="single" w:sz="8" w:space="0" w:color="000000"/>
              <w:bottom w:val="single" w:sz="8" w:space="0" w:color="000000"/>
              <w:right w:val="single" w:sz="8" w:space="0" w:color="000000"/>
            </w:tcBorders>
          </w:tcPr>
          <w:p w14:paraId="342E285B"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2014</w:t>
            </w:r>
          </w:p>
        </w:tc>
      </w:tr>
      <w:tr w:rsidR="00023F99" w14:paraId="752B8044"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4557E499" w14:textId="77777777" w:rsidR="00023F99" w:rsidRDefault="00523346">
            <w:pPr>
              <w:pStyle w:val="TableParagraph"/>
              <w:ind w:right="3"/>
              <w:rPr>
                <w:sz w:val="16"/>
              </w:rPr>
            </w:pPr>
            <w:r>
              <w:rPr>
                <w:sz w:val="16"/>
                <w:lang w:val="fr-CA"/>
              </w:rPr>
              <w:t>Article 30 des NAI</w:t>
            </w:r>
          </w:p>
        </w:tc>
        <w:tc>
          <w:tcPr>
            <w:tcW w:w="908" w:type="dxa"/>
            <w:tcBorders>
              <w:top w:val="single" w:sz="8" w:space="0" w:color="000000"/>
              <w:left w:val="single" w:sz="8" w:space="0" w:color="000000"/>
              <w:bottom w:val="single" w:sz="8" w:space="0" w:color="000000"/>
              <w:right w:val="single" w:sz="8" w:space="0" w:color="000000"/>
            </w:tcBorders>
          </w:tcPr>
          <w:p w14:paraId="57E99FB1" w14:textId="77777777" w:rsidR="00023F99" w:rsidRDefault="00523346">
            <w:pPr>
              <w:pStyle w:val="TableParagraph"/>
              <w:ind w:left="17" w:right="4"/>
              <w:rPr>
                <w:sz w:val="16"/>
              </w:rPr>
            </w:pPr>
            <w:r>
              <w:rPr>
                <w:sz w:val="16"/>
                <w:lang w:val="fr-CA"/>
              </w:rPr>
              <w:t>13</w:t>
            </w:r>
          </w:p>
        </w:tc>
        <w:tc>
          <w:tcPr>
            <w:tcW w:w="4491" w:type="dxa"/>
            <w:tcBorders>
              <w:top w:val="single" w:sz="8" w:space="0" w:color="000000"/>
              <w:left w:val="single" w:sz="8" w:space="0" w:color="000000"/>
              <w:bottom w:val="single" w:sz="8" w:space="0" w:color="000000"/>
              <w:right w:val="single" w:sz="8" w:space="0" w:color="000000"/>
            </w:tcBorders>
          </w:tcPr>
          <w:p w14:paraId="38A02889" w14:textId="77777777" w:rsidR="00023F99" w:rsidRDefault="00523346">
            <w:pPr>
              <w:pStyle w:val="TableParagraph"/>
              <w:ind w:left="102"/>
              <w:jc w:val="left"/>
              <w:rPr>
                <w:sz w:val="16"/>
              </w:rPr>
            </w:pPr>
            <w:r>
              <w:rPr>
                <w:sz w:val="16"/>
                <w:lang w:val="fr-CA"/>
              </w:rPr>
              <w:t>Gestion du rendement</w:t>
            </w:r>
          </w:p>
        </w:tc>
        <w:tc>
          <w:tcPr>
            <w:tcW w:w="2536" w:type="dxa"/>
            <w:tcBorders>
              <w:top w:val="single" w:sz="8" w:space="0" w:color="000000"/>
              <w:left w:val="single" w:sz="8" w:space="0" w:color="000000"/>
              <w:bottom w:val="single" w:sz="8" w:space="0" w:color="000000"/>
              <w:right w:val="single" w:sz="8" w:space="0" w:color="000000"/>
            </w:tcBorders>
          </w:tcPr>
          <w:p w14:paraId="733FE470"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2014</w:t>
            </w:r>
          </w:p>
        </w:tc>
      </w:tr>
      <w:tr w:rsidR="00023F99" w14:paraId="6640F564" w14:textId="77777777" w:rsidTr="008455AE">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20E499FB" w14:textId="77777777" w:rsidR="00023F99" w:rsidRDefault="00523346">
            <w:pPr>
              <w:pStyle w:val="TableParagraph"/>
              <w:ind w:right="3"/>
              <w:rPr>
                <w:sz w:val="16"/>
              </w:rPr>
            </w:pPr>
            <w:r>
              <w:rPr>
                <w:sz w:val="16"/>
                <w:lang w:val="fr-CA"/>
              </w:rPr>
              <w:t>Article 31 des NAI</w:t>
            </w:r>
          </w:p>
        </w:tc>
        <w:tc>
          <w:tcPr>
            <w:tcW w:w="908" w:type="dxa"/>
            <w:tcBorders>
              <w:top w:val="single" w:sz="8" w:space="0" w:color="000000"/>
              <w:left w:val="single" w:sz="8" w:space="0" w:color="000000"/>
              <w:bottom w:val="single" w:sz="8" w:space="0" w:color="000000"/>
              <w:right w:val="single" w:sz="8" w:space="0" w:color="000000"/>
            </w:tcBorders>
          </w:tcPr>
          <w:p w14:paraId="7CF3ED99" w14:textId="77777777" w:rsidR="00023F99" w:rsidRDefault="00523346">
            <w:pPr>
              <w:pStyle w:val="TableParagraph"/>
              <w:ind w:left="17" w:right="4"/>
              <w:rPr>
                <w:sz w:val="16"/>
              </w:rPr>
            </w:pPr>
            <w:r>
              <w:rPr>
                <w:sz w:val="16"/>
                <w:lang w:val="fr-CA"/>
              </w:rPr>
              <w:t>13</w:t>
            </w:r>
          </w:p>
        </w:tc>
        <w:tc>
          <w:tcPr>
            <w:tcW w:w="4491" w:type="dxa"/>
            <w:tcBorders>
              <w:top w:val="single" w:sz="8" w:space="0" w:color="000000"/>
              <w:left w:val="single" w:sz="8" w:space="0" w:color="000000"/>
              <w:bottom w:val="single" w:sz="8" w:space="0" w:color="000000"/>
              <w:right w:val="single" w:sz="8" w:space="0" w:color="000000"/>
            </w:tcBorders>
          </w:tcPr>
          <w:p w14:paraId="34EF085C" w14:textId="77777777" w:rsidR="00023F99" w:rsidRDefault="00523346">
            <w:pPr>
              <w:pStyle w:val="TableParagraph"/>
              <w:ind w:left="102"/>
              <w:jc w:val="left"/>
              <w:rPr>
                <w:sz w:val="16"/>
              </w:rPr>
            </w:pPr>
            <w:r>
              <w:rPr>
                <w:sz w:val="16"/>
                <w:lang w:val="fr-CA"/>
              </w:rPr>
              <w:t>Perfectionnement et avancement professionnels</w:t>
            </w:r>
          </w:p>
        </w:tc>
        <w:tc>
          <w:tcPr>
            <w:tcW w:w="2536" w:type="dxa"/>
            <w:tcBorders>
              <w:top w:val="single" w:sz="8" w:space="0" w:color="000000"/>
              <w:left w:val="single" w:sz="8" w:space="0" w:color="000000"/>
              <w:bottom w:val="single" w:sz="8" w:space="0" w:color="000000"/>
              <w:right w:val="single" w:sz="8" w:space="0" w:color="000000"/>
            </w:tcBorders>
          </w:tcPr>
          <w:p w14:paraId="51207BFA"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2014</w:t>
            </w:r>
          </w:p>
        </w:tc>
      </w:tr>
      <w:tr w:rsidR="00023F99" w14:paraId="326CF26E" w14:textId="77777777" w:rsidTr="008455AE">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6512F9C8" w14:textId="77777777" w:rsidR="00023F99" w:rsidRDefault="00523346">
            <w:pPr>
              <w:pStyle w:val="TableParagraph"/>
              <w:ind w:right="3"/>
              <w:rPr>
                <w:sz w:val="16"/>
              </w:rPr>
            </w:pPr>
            <w:r>
              <w:rPr>
                <w:sz w:val="16"/>
                <w:lang w:val="fr-CA"/>
              </w:rPr>
              <w:t>Article 32 des NAI</w:t>
            </w:r>
          </w:p>
        </w:tc>
        <w:tc>
          <w:tcPr>
            <w:tcW w:w="908" w:type="dxa"/>
            <w:tcBorders>
              <w:top w:val="single" w:sz="8" w:space="0" w:color="000000"/>
              <w:left w:val="single" w:sz="8" w:space="0" w:color="000000"/>
              <w:bottom w:val="single" w:sz="8" w:space="0" w:color="000000"/>
              <w:right w:val="single" w:sz="8" w:space="0" w:color="000000"/>
            </w:tcBorders>
          </w:tcPr>
          <w:p w14:paraId="2405628C" w14:textId="77777777" w:rsidR="00023F99" w:rsidRDefault="00523346">
            <w:pPr>
              <w:pStyle w:val="TableParagraph"/>
              <w:ind w:left="17" w:right="4"/>
              <w:rPr>
                <w:sz w:val="16"/>
              </w:rPr>
            </w:pPr>
            <w:r>
              <w:rPr>
                <w:sz w:val="16"/>
                <w:lang w:val="fr-CA"/>
              </w:rPr>
              <w:t>13</w:t>
            </w:r>
          </w:p>
        </w:tc>
        <w:tc>
          <w:tcPr>
            <w:tcW w:w="4491" w:type="dxa"/>
            <w:tcBorders>
              <w:top w:val="single" w:sz="8" w:space="0" w:color="000000"/>
              <w:left w:val="single" w:sz="8" w:space="0" w:color="000000"/>
              <w:bottom w:val="single" w:sz="8" w:space="0" w:color="000000"/>
              <w:right w:val="single" w:sz="8" w:space="0" w:color="000000"/>
            </w:tcBorders>
          </w:tcPr>
          <w:p w14:paraId="7DA2561E" w14:textId="77777777" w:rsidR="00023F99" w:rsidRDefault="00523346">
            <w:pPr>
              <w:pStyle w:val="TableParagraph"/>
              <w:ind w:left="102"/>
              <w:jc w:val="left"/>
              <w:rPr>
                <w:sz w:val="16"/>
              </w:rPr>
            </w:pPr>
            <w:r>
              <w:rPr>
                <w:sz w:val="16"/>
                <w:lang w:val="fr-CA"/>
              </w:rPr>
              <w:t>Réaffectation</w:t>
            </w:r>
          </w:p>
        </w:tc>
        <w:tc>
          <w:tcPr>
            <w:tcW w:w="2536" w:type="dxa"/>
            <w:tcBorders>
              <w:top w:val="single" w:sz="8" w:space="0" w:color="000000"/>
              <w:left w:val="single" w:sz="8" w:space="0" w:color="000000"/>
              <w:bottom w:val="single" w:sz="8" w:space="0" w:color="000000"/>
              <w:right w:val="single" w:sz="8" w:space="0" w:color="000000"/>
            </w:tcBorders>
          </w:tcPr>
          <w:p w14:paraId="57CEC51E"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2014</w:t>
            </w:r>
          </w:p>
        </w:tc>
      </w:tr>
      <w:tr w:rsidR="00023F99" w:rsidRPr="002052DC" w14:paraId="62D39695" w14:textId="77777777" w:rsidTr="008455AE">
        <w:trPr>
          <w:cantSplit/>
          <w:trHeight w:val="184"/>
        </w:trPr>
        <w:tc>
          <w:tcPr>
            <w:tcW w:w="9574" w:type="dxa"/>
            <w:gridSpan w:val="4"/>
            <w:tcBorders>
              <w:top w:val="single" w:sz="8" w:space="0" w:color="000000"/>
              <w:left w:val="single" w:sz="8" w:space="0" w:color="000000"/>
              <w:bottom w:val="single" w:sz="8" w:space="0" w:color="000000"/>
              <w:right w:val="single" w:sz="8" w:space="0" w:color="000000"/>
            </w:tcBorders>
            <w:shd w:val="clear" w:color="auto" w:fill="D9ECFF"/>
          </w:tcPr>
          <w:p w14:paraId="189D3A55" w14:textId="77777777" w:rsidR="00023F99" w:rsidRPr="006E0392" w:rsidRDefault="00523346">
            <w:pPr>
              <w:pStyle w:val="TableParagraph"/>
              <w:ind w:left="112"/>
              <w:jc w:val="left"/>
              <w:rPr>
                <w:b/>
                <w:sz w:val="16"/>
                <w:lang w:val="fr-FR"/>
              </w:rPr>
            </w:pPr>
            <w:r>
              <w:rPr>
                <w:sz w:val="16"/>
                <w:lang w:val="fr-CA"/>
              </w:rPr>
              <w:t>&gt;</w:t>
            </w:r>
            <w:r>
              <w:rPr>
                <w:b/>
                <w:bCs/>
                <w:sz w:val="16"/>
                <w:lang w:val="fr-CA"/>
              </w:rPr>
              <w:t xml:space="preserve"> Partie IV – Normes pour le transport</w:t>
            </w:r>
          </w:p>
        </w:tc>
      </w:tr>
      <w:tr w:rsidR="00023F99" w14:paraId="3FA0C7BB" w14:textId="77777777" w:rsidTr="008455AE">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6A44CBCF" w14:textId="77777777" w:rsidR="00023F99" w:rsidRDefault="00523346">
            <w:pPr>
              <w:pStyle w:val="TableParagraph"/>
              <w:ind w:right="3"/>
              <w:rPr>
                <w:sz w:val="16"/>
              </w:rPr>
            </w:pPr>
            <w:r>
              <w:rPr>
                <w:sz w:val="16"/>
                <w:lang w:val="fr-CA"/>
              </w:rPr>
              <w:t>Article 34 des NAI</w:t>
            </w:r>
          </w:p>
        </w:tc>
        <w:tc>
          <w:tcPr>
            <w:tcW w:w="908" w:type="dxa"/>
            <w:tcBorders>
              <w:top w:val="single" w:sz="8" w:space="0" w:color="000000"/>
              <w:left w:val="single" w:sz="8" w:space="0" w:color="000000"/>
              <w:bottom w:val="single" w:sz="8" w:space="0" w:color="000000"/>
              <w:right w:val="single" w:sz="8" w:space="0" w:color="000000"/>
            </w:tcBorders>
          </w:tcPr>
          <w:p w14:paraId="6C4BC3CD" w14:textId="77777777" w:rsidR="00023F99" w:rsidRDefault="00523346">
            <w:pPr>
              <w:pStyle w:val="TableParagraph"/>
              <w:ind w:left="17" w:right="4"/>
              <w:rPr>
                <w:sz w:val="16"/>
              </w:rPr>
            </w:pPr>
            <w:r>
              <w:rPr>
                <w:sz w:val="16"/>
                <w:lang w:val="fr-CA"/>
              </w:rPr>
              <w:t>15</w:t>
            </w:r>
          </w:p>
        </w:tc>
        <w:tc>
          <w:tcPr>
            <w:tcW w:w="4491" w:type="dxa"/>
            <w:tcBorders>
              <w:top w:val="single" w:sz="8" w:space="0" w:color="000000"/>
              <w:left w:val="single" w:sz="8" w:space="0" w:color="000000"/>
              <w:bottom w:val="single" w:sz="8" w:space="0" w:color="000000"/>
              <w:right w:val="single" w:sz="8" w:space="0" w:color="000000"/>
            </w:tcBorders>
          </w:tcPr>
          <w:p w14:paraId="31A37620" w14:textId="77777777" w:rsidR="00023F99" w:rsidRPr="006E0392" w:rsidRDefault="00523346">
            <w:pPr>
              <w:pStyle w:val="TableParagraph"/>
              <w:ind w:left="102"/>
              <w:jc w:val="left"/>
              <w:rPr>
                <w:sz w:val="16"/>
                <w:lang w:val="fr-FR"/>
              </w:rPr>
            </w:pPr>
            <w:r>
              <w:rPr>
                <w:sz w:val="16"/>
                <w:lang w:val="fr-CA"/>
              </w:rPr>
              <w:t>Disponibilité des renseignements sur l’équipement d’accessibilité</w:t>
            </w:r>
          </w:p>
        </w:tc>
        <w:tc>
          <w:tcPr>
            <w:tcW w:w="2536" w:type="dxa"/>
            <w:tcBorders>
              <w:top w:val="single" w:sz="8" w:space="0" w:color="000000"/>
              <w:left w:val="single" w:sz="8" w:space="0" w:color="000000"/>
              <w:bottom w:val="single" w:sz="8" w:space="0" w:color="000000"/>
              <w:right w:val="single" w:sz="8" w:space="0" w:color="000000"/>
            </w:tcBorders>
          </w:tcPr>
          <w:p w14:paraId="66F77DC4"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2012</w:t>
            </w:r>
          </w:p>
        </w:tc>
      </w:tr>
      <w:tr w:rsidR="00023F99" w14:paraId="6B798320" w14:textId="77777777" w:rsidTr="008455AE">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61B309F" w14:textId="77777777" w:rsidR="00023F99" w:rsidRDefault="00523346">
            <w:pPr>
              <w:pStyle w:val="TableParagraph"/>
              <w:ind w:right="3"/>
              <w:rPr>
                <w:sz w:val="16"/>
              </w:rPr>
            </w:pPr>
            <w:r>
              <w:rPr>
                <w:sz w:val="16"/>
                <w:lang w:val="fr-CA"/>
              </w:rPr>
              <w:t>Article 35 des NAI</w:t>
            </w:r>
          </w:p>
        </w:tc>
        <w:tc>
          <w:tcPr>
            <w:tcW w:w="908" w:type="dxa"/>
            <w:tcBorders>
              <w:top w:val="single" w:sz="8" w:space="0" w:color="000000"/>
              <w:left w:val="single" w:sz="8" w:space="0" w:color="000000"/>
              <w:bottom w:val="single" w:sz="8" w:space="0" w:color="000000"/>
              <w:right w:val="single" w:sz="8" w:space="0" w:color="000000"/>
            </w:tcBorders>
          </w:tcPr>
          <w:p w14:paraId="2C24F584" w14:textId="77777777" w:rsidR="00023F99" w:rsidRDefault="00523346">
            <w:pPr>
              <w:pStyle w:val="TableParagraph"/>
              <w:ind w:left="17" w:right="4"/>
              <w:rPr>
                <w:sz w:val="16"/>
              </w:rPr>
            </w:pPr>
            <w:r>
              <w:rPr>
                <w:sz w:val="16"/>
                <w:lang w:val="fr-CA"/>
              </w:rPr>
              <w:t>14</w:t>
            </w:r>
          </w:p>
        </w:tc>
        <w:tc>
          <w:tcPr>
            <w:tcW w:w="4491" w:type="dxa"/>
            <w:tcBorders>
              <w:top w:val="single" w:sz="8" w:space="0" w:color="000000"/>
              <w:left w:val="single" w:sz="8" w:space="0" w:color="000000"/>
              <w:bottom w:val="single" w:sz="8" w:space="0" w:color="000000"/>
              <w:right w:val="single" w:sz="8" w:space="0" w:color="000000"/>
            </w:tcBorders>
          </w:tcPr>
          <w:p w14:paraId="20EB93CF" w14:textId="77777777" w:rsidR="00023F99" w:rsidRDefault="00523346">
            <w:pPr>
              <w:pStyle w:val="TableParagraph"/>
              <w:ind w:left="102"/>
              <w:jc w:val="left"/>
              <w:rPr>
                <w:sz w:val="16"/>
              </w:rPr>
            </w:pPr>
            <w:r>
              <w:rPr>
                <w:sz w:val="16"/>
                <w:lang w:val="fr-CA"/>
              </w:rPr>
              <w:t>Panne de l’équipement d’accessibilité</w:t>
            </w:r>
          </w:p>
        </w:tc>
        <w:tc>
          <w:tcPr>
            <w:tcW w:w="2536" w:type="dxa"/>
            <w:tcBorders>
              <w:top w:val="single" w:sz="8" w:space="0" w:color="000000"/>
              <w:left w:val="single" w:sz="8" w:space="0" w:color="000000"/>
              <w:bottom w:val="single" w:sz="8" w:space="0" w:color="000000"/>
              <w:right w:val="single" w:sz="8" w:space="0" w:color="000000"/>
            </w:tcBorders>
          </w:tcPr>
          <w:p w14:paraId="08923149" w14:textId="77777777" w:rsidR="00023F99" w:rsidRDefault="00523346">
            <w:pPr>
              <w:pStyle w:val="TableParagraph"/>
              <w:ind w:right="3"/>
              <w:rPr>
                <w:sz w:val="16"/>
              </w:rPr>
            </w:pPr>
            <w:r>
              <w:rPr>
                <w:sz w:val="16"/>
                <w:lang w:val="fr-CA"/>
              </w:rPr>
              <w:t>1</w:t>
            </w:r>
            <w:r>
              <w:rPr>
                <w:sz w:val="16"/>
                <w:vertAlign w:val="superscript"/>
                <w:lang w:val="fr-CA"/>
              </w:rPr>
              <w:t>er</w:t>
            </w:r>
            <w:r>
              <w:rPr>
                <w:sz w:val="16"/>
                <w:lang w:val="fr-CA"/>
              </w:rPr>
              <w:t> juillet 2011</w:t>
            </w:r>
          </w:p>
        </w:tc>
      </w:tr>
      <w:tr w:rsidR="00023F99" w14:paraId="08C21471"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2FA85903" w14:textId="77777777" w:rsidR="00023F99" w:rsidRDefault="00523346">
            <w:pPr>
              <w:pStyle w:val="TableParagraph"/>
              <w:ind w:right="3"/>
              <w:rPr>
                <w:sz w:val="16"/>
              </w:rPr>
            </w:pPr>
            <w:r>
              <w:rPr>
                <w:sz w:val="16"/>
                <w:lang w:val="fr-CA"/>
              </w:rPr>
              <w:t>Article 37 des NAI</w:t>
            </w:r>
          </w:p>
        </w:tc>
        <w:tc>
          <w:tcPr>
            <w:tcW w:w="908" w:type="dxa"/>
            <w:tcBorders>
              <w:top w:val="single" w:sz="8" w:space="0" w:color="000000"/>
              <w:left w:val="single" w:sz="8" w:space="0" w:color="000000"/>
              <w:bottom w:val="single" w:sz="8" w:space="0" w:color="000000"/>
              <w:right w:val="single" w:sz="8" w:space="0" w:color="000000"/>
            </w:tcBorders>
          </w:tcPr>
          <w:p w14:paraId="686BA1A1" w14:textId="77777777" w:rsidR="00023F99" w:rsidRDefault="00523346">
            <w:pPr>
              <w:pStyle w:val="TableParagraph"/>
              <w:ind w:left="17" w:right="4"/>
              <w:rPr>
                <w:sz w:val="16"/>
              </w:rPr>
            </w:pPr>
            <w:r>
              <w:rPr>
                <w:sz w:val="16"/>
                <w:lang w:val="fr-CA"/>
              </w:rPr>
              <w:t>17</w:t>
            </w:r>
          </w:p>
        </w:tc>
        <w:tc>
          <w:tcPr>
            <w:tcW w:w="4491" w:type="dxa"/>
            <w:tcBorders>
              <w:top w:val="single" w:sz="8" w:space="0" w:color="000000"/>
              <w:left w:val="single" w:sz="8" w:space="0" w:color="000000"/>
              <w:bottom w:val="single" w:sz="8" w:space="0" w:color="000000"/>
              <w:right w:val="single" w:sz="8" w:space="0" w:color="000000"/>
            </w:tcBorders>
          </w:tcPr>
          <w:p w14:paraId="042479A7" w14:textId="77777777" w:rsidR="00023F99" w:rsidRPr="006E0392" w:rsidRDefault="00523346">
            <w:pPr>
              <w:pStyle w:val="TableParagraph"/>
              <w:ind w:left="102"/>
              <w:jc w:val="left"/>
              <w:rPr>
                <w:sz w:val="16"/>
                <w:lang w:val="fr-FR"/>
              </w:rPr>
            </w:pPr>
            <w:r>
              <w:rPr>
                <w:sz w:val="16"/>
                <w:lang w:val="fr-CA"/>
              </w:rPr>
              <w:t>Politiques en matière de protection civile et d’interventions d’urgence</w:t>
            </w:r>
          </w:p>
        </w:tc>
        <w:tc>
          <w:tcPr>
            <w:tcW w:w="2536" w:type="dxa"/>
            <w:tcBorders>
              <w:top w:val="single" w:sz="8" w:space="0" w:color="000000"/>
              <w:left w:val="single" w:sz="8" w:space="0" w:color="000000"/>
              <w:bottom w:val="single" w:sz="8" w:space="0" w:color="000000"/>
              <w:right w:val="single" w:sz="8" w:space="0" w:color="000000"/>
            </w:tcBorders>
          </w:tcPr>
          <w:p w14:paraId="065BBF2F"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2012</w:t>
            </w:r>
          </w:p>
        </w:tc>
      </w:tr>
      <w:tr w:rsidR="00023F99" w14:paraId="26A9B3C9" w14:textId="77777777" w:rsidTr="008455AE">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1896E687" w14:textId="77777777" w:rsidR="00023F99" w:rsidRDefault="00523346">
            <w:pPr>
              <w:pStyle w:val="TableParagraph"/>
              <w:ind w:right="3"/>
              <w:rPr>
                <w:sz w:val="16"/>
              </w:rPr>
            </w:pPr>
            <w:r>
              <w:rPr>
                <w:sz w:val="16"/>
                <w:lang w:val="fr-CA"/>
              </w:rPr>
              <w:t>Article 38 des NAI</w:t>
            </w:r>
          </w:p>
        </w:tc>
        <w:tc>
          <w:tcPr>
            <w:tcW w:w="908" w:type="dxa"/>
            <w:tcBorders>
              <w:top w:val="single" w:sz="8" w:space="0" w:color="000000"/>
              <w:left w:val="single" w:sz="8" w:space="0" w:color="000000"/>
              <w:bottom w:val="single" w:sz="8" w:space="0" w:color="000000"/>
              <w:right w:val="single" w:sz="8" w:space="0" w:color="000000"/>
            </w:tcBorders>
          </w:tcPr>
          <w:p w14:paraId="70169AB6" w14:textId="77777777" w:rsidR="00023F99" w:rsidRDefault="00523346">
            <w:pPr>
              <w:pStyle w:val="TableParagraph"/>
              <w:ind w:left="17" w:right="4"/>
              <w:rPr>
                <w:sz w:val="16"/>
              </w:rPr>
            </w:pPr>
            <w:r>
              <w:rPr>
                <w:sz w:val="16"/>
                <w:lang w:val="fr-CA"/>
              </w:rPr>
              <w:t>16</w:t>
            </w:r>
          </w:p>
        </w:tc>
        <w:tc>
          <w:tcPr>
            <w:tcW w:w="4491" w:type="dxa"/>
            <w:tcBorders>
              <w:top w:val="single" w:sz="8" w:space="0" w:color="000000"/>
              <w:left w:val="single" w:sz="8" w:space="0" w:color="000000"/>
              <w:bottom w:val="single" w:sz="8" w:space="0" w:color="000000"/>
              <w:right w:val="single" w:sz="8" w:space="0" w:color="000000"/>
            </w:tcBorders>
          </w:tcPr>
          <w:p w14:paraId="2E3A37DF" w14:textId="77777777" w:rsidR="00023F99" w:rsidRDefault="00523346">
            <w:pPr>
              <w:pStyle w:val="TableParagraph"/>
              <w:ind w:left="102"/>
              <w:jc w:val="left"/>
              <w:rPr>
                <w:sz w:val="16"/>
              </w:rPr>
            </w:pPr>
            <w:r>
              <w:rPr>
                <w:sz w:val="16"/>
                <w:lang w:val="fr-CA"/>
              </w:rPr>
              <w:t>Tarifs : personnes de soutien</w:t>
            </w:r>
          </w:p>
        </w:tc>
        <w:tc>
          <w:tcPr>
            <w:tcW w:w="2536" w:type="dxa"/>
            <w:tcBorders>
              <w:top w:val="single" w:sz="8" w:space="0" w:color="000000"/>
              <w:left w:val="single" w:sz="8" w:space="0" w:color="000000"/>
              <w:bottom w:val="single" w:sz="8" w:space="0" w:color="000000"/>
              <w:right w:val="single" w:sz="8" w:space="0" w:color="000000"/>
            </w:tcBorders>
          </w:tcPr>
          <w:p w14:paraId="0A7E3451"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2014</w:t>
            </w:r>
          </w:p>
        </w:tc>
      </w:tr>
      <w:tr w:rsidR="00023F99" w14:paraId="1FCECCC0"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5762EDE0" w14:textId="77777777" w:rsidR="00023F99" w:rsidRDefault="00523346">
            <w:pPr>
              <w:pStyle w:val="TableParagraph"/>
              <w:ind w:right="3"/>
              <w:rPr>
                <w:sz w:val="16"/>
              </w:rPr>
            </w:pPr>
            <w:r>
              <w:rPr>
                <w:sz w:val="16"/>
                <w:lang w:val="fr-CA"/>
              </w:rPr>
              <w:t>Article 44 des NAI</w:t>
            </w:r>
          </w:p>
        </w:tc>
        <w:tc>
          <w:tcPr>
            <w:tcW w:w="908" w:type="dxa"/>
            <w:tcBorders>
              <w:top w:val="single" w:sz="8" w:space="0" w:color="000000"/>
              <w:left w:val="single" w:sz="8" w:space="0" w:color="000000"/>
              <w:bottom w:val="single" w:sz="8" w:space="0" w:color="000000"/>
              <w:right w:val="single" w:sz="8" w:space="0" w:color="000000"/>
            </w:tcBorders>
          </w:tcPr>
          <w:p w14:paraId="094C8BA3" w14:textId="77777777" w:rsidR="00023F99" w:rsidRDefault="00523346">
            <w:pPr>
              <w:pStyle w:val="TableParagraph"/>
              <w:ind w:left="17" w:right="4"/>
              <w:rPr>
                <w:sz w:val="16"/>
              </w:rPr>
            </w:pPr>
            <w:r>
              <w:rPr>
                <w:sz w:val="16"/>
                <w:lang w:val="fr-CA"/>
              </w:rPr>
              <w:t>13</w:t>
            </w:r>
          </w:p>
        </w:tc>
        <w:tc>
          <w:tcPr>
            <w:tcW w:w="4491" w:type="dxa"/>
            <w:tcBorders>
              <w:top w:val="single" w:sz="8" w:space="0" w:color="000000"/>
              <w:left w:val="single" w:sz="8" w:space="0" w:color="000000"/>
              <w:bottom w:val="single" w:sz="8" w:space="0" w:color="000000"/>
              <w:right w:val="single" w:sz="8" w:space="0" w:color="000000"/>
            </w:tcBorders>
          </w:tcPr>
          <w:p w14:paraId="589596D9" w14:textId="77777777" w:rsidR="00023F99" w:rsidRDefault="00523346">
            <w:pPr>
              <w:pStyle w:val="TableParagraph"/>
              <w:ind w:left="102"/>
              <w:jc w:val="left"/>
              <w:rPr>
                <w:sz w:val="16"/>
              </w:rPr>
            </w:pPr>
            <w:r>
              <w:rPr>
                <w:sz w:val="16"/>
                <w:lang w:val="fr-CA"/>
              </w:rPr>
              <w:t>Responsabilités générales</w:t>
            </w:r>
          </w:p>
        </w:tc>
        <w:tc>
          <w:tcPr>
            <w:tcW w:w="2536" w:type="dxa"/>
            <w:tcBorders>
              <w:top w:val="single" w:sz="8" w:space="0" w:color="000000"/>
              <w:left w:val="single" w:sz="8" w:space="0" w:color="000000"/>
              <w:bottom w:val="single" w:sz="8" w:space="0" w:color="000000"/>
              <w:right w:val="single" w:sz="8" w:space="0" w:color="000000"/>
            </w:tcBorders>
          </w:tcPr>
          <w:p w14:paraId="7DC8EA3B"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2012</w:t>
            </w:r>
          </w:p>
        </w:tc>
      </w:tr>
      <w:tr w:rsidR="00023F99" w14:paraId="6967E83D" w14:textId="77777777" w:rsidTr="008455AE">
        <w:trPr>
          <w:cantSplit/>
          <w:trHeight w:val="188"/>
        </w:trPr>
        <w:tc>
          <w:tcPr>
            <w:tcW w:w="1639" w:type="dxa"/>
            <w:tcBorders>
              <w:top w:val="single" w:sz="8" w:space="0" w:color="000000"/>
              <w:left w:val="single" w:sz="8" w:space="0" w:color="000000"/>
              <w:bottom w:val="single" w:sz="8" w:space="0" w:color="000000"/>
              <w:right w:val="single" w:sz="8" w:space="0" w:color="000000"/>
            </w:tcBorders>
          </w:tcPr>
          <w:p w14:paraId="5B91AA34" w14:textId="77777777" w:rsidR="00023F99" w:rsidRDefault="00523346">
            <w:pPr>
              <w:pStyle w:val="TableParagraph"/>
              <w:spacing w:line="169" w:lineRule="exact"/>
              <w:ind w:right="3"/>
              <w:rPr>
                <w:sz w:val="16"/>
              </w:rPr>
            </w:pPr>
            <w:r>
              <w:rPr>
                <w:sz w:val="16"/>
                <w:lang w:val="fr-CA"/>
              </w:rPr>
              <w:t>Article 45 des NAI</w:t>
            </w:r>
          </w:p>
        </w:tc>
        <w:tc>
          <w:tcPr>
            <w:tcW w:w="908" w:type="dxa"/>
            <w:tcBorders>
              <w:top w:val="single" w:sz="8" w:space="0" w:color="000000"/>
              <w:left w:val="single" w:sz="8" w:space="0" w:color="000000"/>
              <w:bottom w:val="single" w:sz="8" w:space="0" w:color="000000"/>
              <w:right w:val="single" w:sz="8" w:space="0" w:color="000000"/>
            </w:tcBorders>
          </w:tcPr>
          <w:p w14:paraId="7E3B7F87" w14:textId="77777777" w:rsidR="00023F99" w:rsidRDefault="00523346">
            <w:pPr>
              <w:pStyle w:val="TableParagraph"/>
              <w:spacing w:line="169" w:lineRule="exact"/>
              <w:ind w:left="17" w:right="4"/>
              <w:rPr>
                <w:sz w:val="16"/>
              </w:rPr>
            </w:pPr>
            <w:r>
              <w:rPr>
                <w:sz w:val="16"/>
                <w:lang w:val="fr-CA"/>
              </w:rPr>
              <w:t>14</w:t>
            </w:r>
          </w:p>
        </w:tc>
        <w:tc>
          <w:tcPr>
            <w:tcW w:w="4491" w:type="dxa"/>
            <w:tcBorders>
              <w:top w:val="single" w:sz="8" w:space="0" w:color="000000"/>
              <w:left w:val="single" w:sz="8" w:space="0" w:color="000000"/>
              <w:bottom w:val="single" w:sz="8" w:space="0" w:color="000000"/>
              <w:right w:val="single" w:sz="8" w:space="0" w:color="000000"/>
            </w:tcBorders>
          </w:tcPr>
          <w:p w14:paraId="4B985ACC" w14:textId="77777777" w:rsidR="00023F99" w:rsidRPr="006E0392" w:rsidRDefault="00523346">
            <w:pPr>
              <w:pStyle w:val="TableParagraph"/>
              <w:spacing w:line="169" w:lineRule="exact"/>
              <w:ind w:left="102"/>
              <w:jc w:val="left"/>
              <w:rPr>
                <w:sz w:val="16"/>
                <w:lang w:val="fr-FR"/>
              </w:rPr>
            </w:pPr>
            <w:r>
              <w:rPr>
                <w:sz w:val="16"/>
                <w:lang w:val="fr-CA"/>
              </w:rPr>
              <w:t>Moyen de transport de remplacement accessible</w:t>
            </w:r>
          </w:p>
        </w:tc>
        <w:tc>
          <w:tcPr>
            <w:tcW w:w="2536" w:type="dxa"/>
            <w:tcBorders>
              <w:top w:val="single" w:sz="8" w:space="0" w:color="000000"/>
              <w:left w:val="single" w:sz="8" w:space="0" w:color="000000"/>
              <w:bottom w:val="single" w:sz="8" w:space="0" w:color="000000"/>
              <w:right w:val="single" w:sz="8" w:space="0" w:color="000000"/>
            </w:tcBorders>
          </w:tcPr>
          <w:p w14:paraId="2EE02E95" w14:textId="77777777" w:rsidR="00023F99" w:rsidRDefault="00523346">
            <w:pPr>
              <w:pStyle w:val="TableParagraph"/>
              <w:spacing w:line="169" w:lineRule="exact"/>
              <w:ind w:right="1"/>
              <w:rPr>
                <w:sz w:val="16"/>
              </w:rPr>
            </w:pPr>
            <w:r>
              <w:rPr>
                <w:sz w:val="16"/>
                <w:lang w:val="fr-CA"/>
              </w:rPr>
              <w:t>1</w:t>
            </w:r>
            <w:r>
              <w:rPr>
                <w:sz w:val="16"/>
                <w:vertAlign w:val="superscript"/>
                <w:lang w:val="fr-CA"/>
              </w:rPr>
              <w:t>er</w:t>
            </w:r>
            <w:r>
              <w:rPr>
                <w:sz w:val="16"/>
                <w:lang w:val="fr-CA"/>
              </w:rPr>
              <w:t> janvier 2013</w:t>
            </w:r>
          </w:p>
        </w:tc>
      </w:tr>
      <w:tr w:rsidR="00023F99" w14:paraId="47490744"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52454B65" w14:textId="77777777" w:rsidR="00023F99" w:rsidRDefault="00523346">
            <w:pPr>
              <w:pStyle w:val="TableParagraph"/>
              <w:ind w:right="3"/>
              <w:rPr>
                <w:sz w:val="16"/>
              </w:rPr>
            </w:pPr>
            <w:r>
              <w:rPr>
                <w:sz w:val="16"/>
                <w:lang w:val="fr-CA"/>
              </w:rPr>
              <w:t>Article 46 des NAI</w:t>
            </w:r>
          </w:p>
        </w:tc>
        <w:tc>
          <w:tcPr>
            <w:tcW w:w="908" w:type="dxa"/>
            <w:tcBorders>
              <w:top w:val="single" w:sz="8" w:space="0" w:color="000000"/>
              <w:left w:val="single" w:sz="8" w:space="0" w:color="000000"/>
              <w:bottom w:val="single" w:sz="8" w:space="0" w:color="000000"/>
              <w:right w:val="single" w:sz="8" w:space="0" w:color="000000"/>
            </w:tcBorders>
          </w:tcPr>
          <w:p w14:paraId="476A365C" w14:textId="77777777" w:rsidR="00023F99" w:rsidRDefault="00523346">
            <w:pPr>
              <w:pStyle w:val="TableParagraph"/>
              <w:ind w:left="17" w:right="4"/>
              <w:rPr>
                <w:sz w:val="16"/>
              </w:rPr>
            </w:pPr>
            <w:r>
              <w:rPr>
                <w:sz w:val="16"/>
                <w:lang w:val="fr-CA"/>
              </w:rPr>
              <w:t>16</w:t>
            </w:r>
          </w:p>
        </w:tc>
        <w:tc>
          <w:tcPr>
            <w:tcW w:w="4491" w:type="dxa"/>
            <w:tcBorders>
              <w:top w:val="single" w:sz="8" w:space="0" w:color="000000"/>
              <w:left w:val="single" w:sz="8" w:space="0" w:color="000000"/>
              <w:bottom w:val="single" w:sz="8" w:space="0" w:color="000000"/>
              <w:right w:val="single" w:sz="8" w:space="0" w:color="000000"/>
            </w:tcBorders>
          </w:tcPr>
          <w:p w14:paraId="50B44B00" w14:textId="77777777" w:rsidR="00023F99" w:rsidRDefault="00523346">
            <w:pPr>
              <w:pStyle w:val="TableParagraph"/>
              <w:ind w:left="102"/>
              <w:jc w:val="left"/>
              <w:rPr>
                <w:sz w:val="16"/>
              </w:rPr>
            </w:pPr>
            <w:r>
              <w:rPr>
                <w:sz w:val="16"/>
                <w:lang w:val="fr-CA"/>
              </w:rPr>
              <w:t>Tarifs (parité tarifaire)</w:t>
            </w:r>
          </w:p>
        </w:tc>
        <w:tc>
          <w:tcPr>
            <w:tcW w:w="2536" w:type="dxa"/>
            <w:tcBorders>
              <w:top w:val="single" w:sz="8" w:space="0" w:color="000000"/>
              <w:left w:val="single" w:sz="8" w:space="0" w:color="000000"/>
              <w:bottom w:val="single" w:sz="8" w:space="0" w:color="000000"/>
              <w:right w:val="single" w:sz="8" w:space="0" w:color="000000"/>
            </w:tcBorders>
          </w:tcPr>
          <w:p w14:paraId="2FAE2833" w14:textId="77777777" w:rsidR="00023F99" w:rsidRDefault="00523346">
            <w:pPr>
              <w:pStyle w:val="TableParagraph"/>
              <w:ind w:right="3"/>
              <w:rPr>
                <w:sz w:val="16"/>
              </w:rPr>
            </w:pPr>
            <w:r>
              <w:rPr>
                <w:sz w:val="16"/>
                <w:lang w:val="fr-CA"/>
              </w:rPr>
              <w:t>1</w:t>
            </w:r>
            <w:r>
              <w:rPr>
                <w:sz w:val="16"/>
                <w:vertAlign w:val="superscript"/>
                <w:lang w:val="fr-CA"/>
              </w:rPr>
              <w:t>er</w:t>
            </w:r>
            <w:r>
              <w:rPr>
                <w:sz w:val="16"/>
                <w:lang w:val="fr-CA"/>
              </w:rPr>
              <w:t> juillet 2011</w:t>
            </w:r>
          </w:p>
        </w:tc>
      </w:tr>
      <w:tr w:rsidR="00023F99" w14:paraId="135304E9" w14:textId="77777777" w:rsidTr="008455AE">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57A89444" w14:textId="77777777" w:rsidR="00023F99" w:rsidRDefault="00523346">
            <w:pPr>
              <w:pStyle w:val="TableParagraph"/>
              <w:ind w:right="3"/>
              <w:rPr>
                <w:sz w:val="16"/>
              </w:rPr>
            </w:pPr>
            <w:r>
              <w:rPr>
                <w:sz w:val="16"/>
                <w:lang w:val="fr-CA"/>
              </w:rPr>
              <w:t>Article 47 des NAI</w:t>
            </w:r>
          </w:p>
        </w:tc>
        <w:tc>
          <w:tcPr>
            <w:tcW w:w="908" w:type="dxa"/>
            <w:tcBorders>
              <w:top w:val="single" w:sz="8" w:space="0" w:color="000000"/>
              <w:left w:val="single" w:sz="8" w:space="0" w:color="000000"/>
              <w:bottom w:val="single" w:sz="8" w:space="0" w:color="000000"/>
              <w:right w:val="single" w:sz="8" w:space="0" w:color="000000"/>
            </w:tcBorders>
          </w:tcPr>
          <w:p w14:paraId="794CE95D" w14:textId="77777777" w:rsidR="00023F99" w:rsidRDefault="00523346">
            <w:pPr>
              <w:pStyle w:val="TableParagraph"/>
              <w:ind w:left="17" w:right="4"/>
              <w:rPr>
                <w:sz w:val="16"/>
              </w:rPr>
            </w:pPr>
            <w:r>
              <w:rPr>
                <w:sz w:val="16"/>
                <w:lang w:val="fr-CA"/>
              </w:rPr>
              <w:t>15</w:t>
            </w:r>
          </w:p>
        </w:tc>
        <w:tc>
          <w:tcPr>
            <w:tcW w:w="4491" w:type="dxa"/>
            <w:tcBorders>
              <w:top w:val="single" w:sz="8" w:space="0" w:color="000000"/>
              <w:left w:val="single" w:sz="8" w:space="0" w:color="000000"/>
              <w:bottom w:val="single" w:sz="8" w:space="0" w:color="000000"/>
              <w:right w:val="single" w:sz="8" w:space="0" w:color="000000"/>
            </w:tcBorders>
          </w:tcPr>
          <w:p w14:paraId="16A18DDF" w14:textId="77777777" w:rsidR="00023F99" w:rsidRPr="006E0392" w:rsidRDefault="00523346">
            <w:pPr>
              <w:pStyle w:val="TableParagraph"/>
              <w:ind w:left="102"/>
              <w:jc w:val="left"/>
              <w:rPr>
                <w:sz w:val="16"/>
                <w:lang w:val="fr-FR"/>
              </w:rPr>
            </w:pPr>
            <w:r>
              <w:rPr>
                <w:sz w:val="16"/>
                <w:lang w:val="fr-CA"/>
              </w:rPr>
              <w:t>Arrêts des transports en commun</w:t>
            </w:r>
          </w:p>
        </w:tc>
        <w:tc>
          <w:tcPr>
            <w:tcW w:w="2536" w:type="dxa"/>
            <w:tcBorders>
              <w:top w:val="single" w:sz="8" w:space="0" w:color="000000"/>
              <w:left w:val="single" w:sz="8" w:space="0" w:color="000000"/>
              <w:bottom w:val="single" w:sz="8" w:space="0" w:color="000000"/>
              <w:right w:val="single" w:sz="8" w:space="0" w:color="000000"/>
            </w:tcBorders>
          </w:tcPr>
          <w:p w14:paraId="4ECC6BDE"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2012</w:t>
            </w:r>
          </w:p>
        </w:tc>
      </w:tr>
      <w:tr w:rsidR="00023F99" w14:paraId="3ADD2D56" w14:textId="77777777" w:rsidTr="008455AE">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72F00947" w14:textId="77777777" w:rsidR="00023F99" w:rsidRDefault="00523346">
            <w:pPr>
              <w:pStyle w:val="TableParagraph"/>
              <w:ind w:right="4"/>
              <w:rPr>
                <w:sz w:val="16"/>
              </w:rPr>
            </w:pPr>
            <w:r>
              <w:rPr>
                <w:sz w:val="16"/>
                <w:lang w:val="fr-CA"/>
              </w:rPr>
              <w:t>Article 48 des NAI</w:t>
            </w:r>
          </w:p>
        </w:tc>
        <w:tc>
          <w:tcPr>
            <w:tcW w:w="908" w:type="dxa"/>
            <w:tcBorders>
              <w:top w:val="single" w:sz="8" w:space="0" w:color="000000"/>
              <w:left w:val="single" w:sz="8" w:space="0" w:color="000000"/>
              <w:bottom w:val="single" w:sz="8" w:space="0" w:color="000000"/>
              <w:right w:val="single" w:sz="8" w:space="0" w:color="000000"/>
            </w:tcBorders>
          </w:tcPr>
          <w:p w14:paraId="7DA0D031" w14:textId="77777777" w:rsidR="00023F99" w:rsidRDefault="00523346">
            <w:pPr>
              <w:pStyle w:val="TableParagraph"/>
              <w:ind w:left="17" w:right="4"/>
              <w:rPr>
                <w:sz w:val="16"/>
              </w:rPr>
            </w:pPr>
            <w:r>
              <w:rPr>
                <w:sz w:val="16"/>
                <w:lang w:val="fr-CA"/>
              </w:rPr>
              <w:t>16</w:t>
            </w:r>
          </w:p>
        </w:tc>
        <w:tc>
          <w:tcPr>
            <w:tcW w:w="4491" w:type="dxa"/>
            <w:tcBorders>
              <w:top w:val="single" w:sz="8" w:space="0" w:color="000000"/>
              <w:left w:val="single" w:sz="8" w:space="0" w:color="000000"/>
              <w:bottom w:val="single" w:sz="8" w:space="0" w:color="000000"/>
              <w:right w:val="single" w:sz="8" w:space="0" w:color="000000"/>
            </w:tcBorders>
          </w:tcPr>
          <w:p w14:paraId="1D5FDB1E" w14:textId="77777777" w:rsidR="00023F99" w:rsidRPr="006E0392" w:rsidRDefault="00523346">
            <w:pPr>
              <w:pStyle w:val="TableParagraph"/>
              <w:ind w:left="102"/>
              <w:jc w:val="left"/>
              <w:rPr>
                <w:sz w:val="16"/>
                <w:lang w:val="fr-FR"/>
              </w:rPr>
            </w:pPr>
            <w:r>
              <w:rPr>
                <w:sz w:val="16"/>
                <w:lang w:val="fr-CA"/>
              </w:rPr>
              <w:t>Rangement des aides à la mobilité et autres appareils</w:t>
            </w:r>
          </w:p>
        </w:tc>
        <w:tc>
          <w:tcPr>
            <w:tcW w:w="2536" w:type="dxa"/>
            <w:tcBorders>
              <w:top w:val="single" w:sz="8" w:space="0" w:color="000000"/>
              <w:left w:val="single" w:sz="8" w:space="0" w:color="000000"/>
              <w:bottom w:val="single" w:sz="8" w:space="0" w:color="000000"/>
              <w:right w:val="single" w:sz="8" w:space="0" w:color="000000"/>
            </w:tcBorders>
          </w:tcPr>
          <w:p w14:paraId="0165D65C" w14:textId="77777777" w:rsidR="00023F99" w:rsidRDefault="00523346">
            <w:pPr>
              <w:pStyle w:val="TableParagraph"/>
              <w:ind w:right="3"/>
              <w:rPr>
                <w:sz w:val="16"/>
              </w:rPr>
            </w:pPr>
            <w:r>
              <w:rPr>
                <w:sz w:val="16"/>
                <w:lang w:val="fr-CA"/>
              </w:rPr>
              <w:t>1</w:t>
            </w:r>
            <w:r>
              <w:rPr>
                <w:sz w:val="16"/>
                <w:vertAlign w:val="superscript"/>
                <w:lang w:val="fr-CA"/>
              </w:rPr>
              <w:t>er</w:t>
            </w:r>
            <w:r>
              <w:rPr>
                <w:sz w:val="16"/>
                <w:lang w:val="fr-CA"/>
              </w:rPr>
              <w:t> juillet 2011</w:t>
            </w:r>
          </w:p>
        </w:tc>
      </w:tr>
      <w:tr w:rsidR="00023F99" w14:paraId="0A0F04E5"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522112A3" w14:textId="77777777" w:rsidR="00023F99" w:rsidRDefault="00523346">
            <w:pPr>
              <w:pStyle w:val="TableParagraph"/>
              <w:ind w:right="3"/>
              <w:rPr>
                <w:sz w:val="16"/>
              </w:rPr>
            </w:pPr>
            <w:r>
              <w:rPr>
                <w:sz w:val="16"/>
                <w:lang w:val="fr-CA"/>
              </w:rPr>
              <w:t>Article 49 des NAI</w:t>
            </w:r>
          </w:p>
        </w:tc>
        <w:tc>
          <w:tcPr>
            <w:tcW w:w="908" w:type="dxa"/>
            <w:tcBorders>
              <w:top w:val="single" w:sz="8" w:space="0" w:color="000000"/>
              <w:left w:val="single" w:sz="8" w:space="0" w:color="000000"/>
              <w:bottom w:val="single" w:sz="8" w:space="0" w:color="000000"/>
              <w:right w:val="single" w:sz="8" w:space="0" w:color="000000"/>
            </w:tcBorders>
          </w:tcPr>
          <w:p w14:paraId="59D4C6B6" w14:textId="77777777" w:rsidR="00023F99" w:rsidRDefault="00523346">
            <w:pPr>
              <w:pStyle w:val="TableParagraph"/>
              <w:ind w:left="17" w:right="4"/>
              <w:rPr>
                <w:sz w:val="16"/>
              </w:rPr>
            </w:pPr>
            <w:r>
              <w:rPr>
                <w:sz w:val="16"/>
                <w:lang w:val="fr-CA"/>
              </w:rPr>
              <w:t>17</w:t>
            </w:r>
          </w:p>
        </w:tc>
        <w:tc>
          <w:tcPr>
            <w:tcW w:w="4491" w:type="dxa"/>
            <w:tcBorders>
              <w:top w:val="single" w:sz="8" w:space="0" w:color="000000"/>
              <w:left w:val="single" w:sz="8" w:space="0" w:color="000000"/>
              <w:bottom w:val="single" w:sz="8" w:space="0" w:color="000000"/>
              <w:right w:val="single" w:sz="8" w:space="0" w:color="000000"/>
            </w:tcBorders>
          </w:tcPr>
          <w:p w14:paraId="52D8299B" w14:textId="77777777" w:rsidR="00023F99" w:rsidRDefault="00523346">
            <w:pPr>
              <w:pStyle w:val="TableParagraph"/>
              <w:ind w:left="102"/>
              <w:jc w:val="left"/>
              <w:rPr>
                <w:sz w:val="16"/>
              </w:rPr>
            </w:pPr>
            <w:r>
              <w:rPr>
                <w:sz w:val="16"/>
                <w:lang w:val="fr-CA"/>
              </w:rPr>
              <w:t>Sièges réservés</w:t>
            </w:r>
          </w:p>
        </w:tc>
        <w:tc>
          <w:tcPr>
            <w:tcW w:w="2536" w:type="dxa"/>
            <w:tcBorders>
              <w:top w:val="single" w:sz="8" w:space="0" w:color="000000"/>
              <w:left w:val="single" w:sz="8" w:space="0" w:color="000000"/>
              <w:bottom w:val="single" w:sz="8" w:space="0" w:color="000000"/>
              <w:right w:val="single" w:sz="8" w:space="0" w:color="000000"/>
            </w:tcBorders>
          </w:tcPr>
          <w:p w14:paraId="49C0F1F4"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2012</w:t>
            </w:r>
          </w:p>
        </w:tc>
      </w:tr>
      <w:tr w:rsidR="00023F99" w14:paraId="3B130E00" w14:textId="77777777" w:rsidTr="008455AE">
        <w:trPr>
          <w:cantSplit/>
          <w:trHeight w:val="183"/>
        </w:trPr>
        <w:tc>
          <w:tcPr>
            <w:tcW w:w="1639" w:type="dxa"/>
            <w:tcBorders>
              <w:top w:val="single" w:sz="8" w:space="0" w:color="000000"/>
              <w:left w:val="single" w:sz="8" w:space="0" w:color="000000"/>
              <w:bottom w:val="single" w:sz="8" w:space="0" w:color="000000"/>
              <w:right w:val="single" w:sz="8" w:space="0" w:color="000000"/>
            </w:tcBorders>
          </w:tcPr>
          <w:p w14:paraId="7D3B8434" w14:textId="77777777" w:rsidR="00023F99" w:rsidRDefault="00523346">
            <w:pPr>
              <w:pStyle w:val="TableParagraph"/>
              <w:ind w:right="3"/>
              <w:rPr>
                <w:sz w:val="16"/>
              </w:rPr>
            </w:pPr>
            <w:r>
              <w:rPr>
                <w:sz w:val="16"/>
                <w:lang w:val="fr-CA"/>
              </w:rPr>
              <w:t>Article 50 des NAI</w:t>
            </w:r>
          </w:p>
        </w:tc>
        <w:tc>
          <w:tcPr>
            <w:tcW w:w="908" w:type="dxa"/>
            <w:tcBorders>
              <w:top w:val="single" w:sz="8" w:space="0" w:color="000000"/>
              <w:left w:val="single" w:sz="8" w:space="0" w:color="000000"/>
              <w:bottom w:val="single" w:sz="8" w:space="0" w:color="000000"/>
              <w:right w:val="single" w:sz="8" w:space="0" w:color="000000"/>
            </w:tcBorders>
          </w:tcPr>
          <w:p w14:paraId="6F4BB5E0" w14:textId="77777777" w:rsidR="00023F99" w:rsidRDefault="00523346">
            <w:pPr>
              <w:pStyle w:val="TableParagraph"/>
              <w:ind w:left="17" w:right="4"/>
              <w:rPr>
                <w:sz w:val="16"/>
              </w:rPr>
            </w:pPr>
            <w:r>
              <w:rPr>
                <w:sz w:val="16"/>
                <w:lang w:val="fr-CA"/>
              </w:rPr>
              <w:t>14</w:t>
            </w:r>
          </w:p>
        </w:tc>
        <w:tc>
          <w:tcPr>
            <w:tcW w:w="4491" w:type="dxa"/>
            <w:tcBorders>
              <w:top w:val="single" w:sz="8" w:space="0" w:color="000000"/>
              <w:left w:val="single" w:sz="8" w:space="0" w:color="000000"/>
              <w:bottom w:val="single" w:sz="8" w:space="0" w:color="000000"/>
              <w:right w:val="single" w:sz="8" w:space="0" w:color="000000"/>
            </w:tcBorders>
          </w:tcPr>
          <w:p w14:paraId="468D3D4C" w14:textId="77777777" w:rsidR="00023F99" w:rsidRDefault="00523346">
            <w:pPr>
              <w:pStyle w:val="TableParagraph"/>
              <w:ind w:left="102"/>
              <w:jc w:val="left"/>
              <w:rPr>
                <w:sz w:val="16"/>
              </w:rPr>
            </w:pPr>
            <w:r>
              <w:rPr>
                <w:sz w:val="16"/>
                <w:lang w:val="fr-CA"/>
              </w:rPr>
              <w:t>Perturbations du service</w:t>
            </w:r>
          </w:p>
        </w:tc>
        <w:tc>
          <w:tcPr>
            <w:tcW w:w="2536" w:type="dxa"/>
            <w:tcBorders>
              <w:top w:val="single" w:sz="8" w:space="0" w:color="000000"/>
              <w:left w:val="single" w:sz="8" w:space="0" w:color="000000"/>
              <w:bottom w:val="single" w:sz="8" w:space="0" w:color="000000"/>
              <w:right w:val="single" w:sz="8" w:space="0" w:color="000000"/>
            </w:tcBorders>
          </w:tcPr>
          <w:p w14:paraId="33756E3E" w14:textId="77777777" w:rsidR="00023F99" w:rsidRDefault="00523346">
            <w:pPr>
              <w:pStyle w:val="TableParagraph"/>
              <w:ind w:right="1"/>
              <w:rPr>
                <w:sz w:val="16"/>
              </w:rPr>
            </w:pPr>
            <w:r>
              <w:rPr>
                <w:sz w:val="16"/>
                <w:lang w:val="fr-CA"/>
              </w:rPr>
              <w:t>1</w:t>
            </w:r>
            <w:r>
              <w:rPr>
                <w:sz w:val="16"/>
                <w:vertAlign w:val="superscript"/>
                <w:lang w:val="fr-CA"/>
              </w:rPr>
              <w:t>er </w:t>
            </w:r>
            <w:r>
              <w:rPr>
                <w:sz w:val="16"/>
                <w:lang w:val="fr-CA"/>
              </w:rPr>
              <w:t>janvier 2012</w:t>
            </w:r>
          </w:p>
        </w:tc>
      </w:tr>
      <w:tr w:rsidR="00023F99" w14:paraId="700D51EA" w14:textId="77777777" w:rsidTr="008455AE">
        <w:trPr>
          <w:cantSplit/>
          <w:trHeight w:val="366"/>
        </w:trPr>
        <w:tc>
          <w:tcPr>
            <w:tcW w:w="1639" w:type="dxa"/>
            <w:vMerge w:val="restart"/>
            <w:tcBorders>
              <w:top w:val="single" w:sz="8" w:space="0" w:color="000000"/>
              <w:left w:val="single" w:sz="8" w:space="0" w:color="000000"/>
              <w:bottom w:val="single" w:sz="8" w:space="0" w:color="000000"/>
              <w:right w:val="single" w:sz="8" w:space="0" w:color="000000"/>
            </w:tcBorders>
          </w:tcPr>
          <w:p w14:paraId="650CE8CB" w14:textId="77777777" w:rsidR="00023F99" w:rsidRDefault="00523346">
            <w:pPr>
              <w:pStyle w:val="TableParagraph"/>
              <w:spacing w:line="180" w:lineRule="exact"/>
              <w:ind w:right="3"/>
              <w:rPr>
                <w:sz w:val="16"/>
              </w:rPr>
            </w:pPr>
            <w:r>
              <w:rPr>
                <w:sz w:val="16"/>
                <w:lang w:val="fr-CA"/>
              </w:rPr>
              <w:t>Article 51 des NAI</w:t>
            </w:r>
          </w:p>
        </w:tc>
        <w:tc>
          <w:tcPr>
            <w:tcW w:w="908" w:type="dxa"/>
            <w:vMerge w:val="restart"/>
            <w:tcBorders>
              <w:top w:val="single" w:sz="8" w:space="0" w:color="000000"/>
              <w:left w:val="single" w:sz="8" w:space="0" w:color="000000"/>
              <w:bottom w:val="single" w:sz="8" w:space="0" w:color="000000"/>
              <w:right w:val="single" w:sz="8" w:space="0" w:color="000000"/>
            </w:tcBorders>
          </w:tcPr>
          <w:p w14:paraId="3B4BA8EF" w14:textId="77777777" w:rsidR="00023F99" w:rsidRDefault="00523346">
            <w:pPr>
              <w:pStyle w:val="TableParagraph"/>
              <w:spacing w:line="180" w:lineRule="exact"/>
              <w:ind w:left="13"/>
              <w:rPr>
                <w:sz w:val="16"/>
              </w:rPr>
            </w:pPr>
            <w:r>
              <w:rPr>
                <w:sz w:val="16"/>
                <w:lang w:val="fr-CA"/>
              </w:rPr>
              <w:t>15</w:t>
            </w:r>
          </w:p>
        </w:tc>
        <w:tc>
          <w:tcPr>
            <w:tcW w:w="4491" w:type="dxa"/>
            <w:tcBorders>
              <w:top w:val="single" w:sz="8" w:space="0" w:color="000000"/>
              <w:left w:val="single" w:sz="8" w:space="0" w:color="000000"/>
              <w:bottom w:val="single" w:sz="8" w:space="0" w:color="000000"/>
              <w:right w:val="single" w:sz="8" w:space="0" w:color="000000"/>
            </w:tcBorders>
          </w:tcPr>
          <w:p w14:paraId="609CB5F5" w14:textId="77777777" w:rsidR="00023F99" w:rsidRPr="006E0392" w:rsidRDefault="00523346">
            <w:pPr>
              <w:pStyle w:val="TableParagraph"/>
              <w:spacing w:line="180" w:lineRule="exact"/>
              <w:ind w:left="102"/>
              <w:jc w:val="left"/>
              <w:rPr>
                <w:sz w:val="16"/>
                <w:lang w:val="fr-FR"/>
              </w:rPr>
            </w:pPr>
            <w:r>
              <w:rPr>
                <w:sz w:val="16"/>
                <w:lang w:val="fr-CA"/>
              </w:rPr>
              <w:t>Annonces avant la montée des passagers</w:t>
            </w:r>
          </w:p>
          <w:p w14:paraId="76FD6FBC" w14:textId="77777777" w:rsidR="00023F99" w:rsidRDefault="00523346">
            <w:pPr>
              <w:pStyle w:val="TableParagraph"/>
              <w:spacing w:before="1" w:line="166" w:lineRule="exact"/>
              <w:ind w:left="3395"/>
              <w:jc w:val="left"/>
              <w:rPr>
                <w:sz w:val="16"/>
              </w:rPr>
            </w:pPr>
            <w:r>
              <w:rPr>
                <w:sz w:val="16"/>
                <w:lang w:val="fr-CA"/>
              </w:rPr>
              <w:t>– verbal</w:t>
            </w:r>
          </w:p>
        </w:tc>
        <w:tc>
          <w:tcPr>
            <w:tcW w:w="2536" w:type="dxa"/>
            <w:tcBorders>
              <w:top w:val="single" w:sz="8" w:space="0" w:color="000000"/>
              <w:left w:val="single" w:sz="8" w:space="0" w:color="000000"/>
              <w:bottom w:val="single" w:sz="8" w:space="0" w:color="000000"/>
              <w:right w:val="single" w:sz="8" w:space="0" w:color="000000"/>
            </w:tcBorders>
          </w:tcPr>
          <w:p w14:paraId="73B48989" w14:textId="77777777" w:rsidR="00023F99" w:rsidRDefault="00523346">
            <w:pPr>
              <w:pStyle w:val="TableParagraph"/>
              <w:spacing w:before="180" w:line="166" w:lineRule="exact"/>
              <w:ind w:right="3"/>
              <w:rPr>
                <w:sz w:val="16"/>
              </w:rPr>
            </w:pPr>
            <w:r>
              <w:rPr>
                <w:sz w:val="16"/>
                <w:lang w:val="fr-CA"/>
              </w:rPr>
              <w:t>1</w:t>
            </w:r>
            <w:r>
              <w:rPr>
                <w:sz w:val="16"/>
                <w:vertAlign w:val="superscript"/>
                <w:lang w:val="fr-CA"/>
              </w:rPr>
              <w:t>er</w:t>
            </w:r>
            <w:r>
              <w:rPr>
                <w:sz w:val="16"/>
                <w:lang w:val="fr-CA"/>
              </w:rPr>
              <w:t> juillet 2011</w:t>
            </w:r>
          </w:p>
        </w:tc>
      </w:tr>
      <w:tr w:rsidR="00023F99" w14:paraId="1CBB7AEC" w14:textId="77777777" w:rsidTr="008455AE">
        <w:trPr>
          <w:cantSplit/>
          <w:trHeight w:val="205"/>
        </w:trPr>
        <w:tc>
          <w:tcPr>
            <w:tcW w:w="1639" w:type="dxa"/>
            <w:vMerge/>
            <w:tcBorders>
              <w:top w:val="nil"/>
              <w:left w:val="single" w:sz="8" w:space="0" w:color="000000"/>
              <w:bottom w:val="single" w:sz="8" w:space="0" w:color="000000"/>
              <w:right w:val="single" w:sz="8" w:space="0" w:color="000000"/>
            </w:tcBorders>
          </w:tcPr>
          <w:p w14:paraId="4A0C75AB" w14:textId="77777777" w:rsidR="00023F99" w:rsidRDefault="00023F99">
            <w:pPr>
              <w:rPr>
                <w:sz w:val="2"/>
                <w:szCs w:val="2"/>
              </w:rPr>
            </w:pPr>
          </w:p>
        </w:tc>
        <w:tc>
          <w:tcPr>
            <w:tcW w:w="908" w:type="dxa"/>
            <w:vMerge/>
            <w:tcBorders>
              <w:top w:val="nil"/>
              <w:left w:val="single" w:sz="8" w:space="0" w:color="000000"/>
              <w:bottom w:val="single" w:sz="8" w:space="0" w:color="000000"/>
              <w:right w:val="single" w:sz="8" w:space="0" w:color="000000"/>
            </w:tcBorders>
          </w:tcPr>
          <w:p w14:paraId="5B0AFE1B" w14:textId="77777777" w:rsidR="00023F99" w:rsidRDefault="00023F99">
            <w:pPr>
              <w:rPr>
                <w:sz w:val="2"/>
                <w:szCs w:val="2"/>
              </w:rPr>
            </w:pPr>
          </w:p>
        </w:tc>
        <w:tc>
          <w:tcPr>
            <w:tcW w:w="4491" w:type="dxa"/>
            <w:tcBorders>
              <w:top w:val="single" w:sz="8" w:space="0" w:color="000000"/>
              <w:left w:val="single" w:sz="8" w:space="0" w:color="000000"/>
              <w:bottom w:val="single" w:sz="8" w:space="0" w:color="000000"/>
              <w:right w:val="single" w:sz="8" w:space="0" w:color="000000"/>
            </w:tcBorders>
          </w:tcPr>
          <w:p w14:paraId="4FC33B9B" w14:textId="77777777" w:rsidR="00023F99" w:rsidRDefault="00523346">
            <w:pPr>
              <w:pStyle w:val="TableParagraph"/>
              <w:spacing w:line="182" w:lineRule="exact"/>
              <w:ind w:left="0" w:right="293"/>
              <w:jc w:val="right"/>
              <w:rPr>
                <w:sz w:val="16"/>
              </w:rPr>
            </w:pPr>
            <w:r>
              <w:rPr>
                <w:sz w:val="16"/>
                <w:lang w:val="fr-CA"/>
              </w:rPr>
              <w:t>– électronique</w:t>
            </w:r>
          </w:p>
        </w:tc>
        <w:tc>
          <w:tcPr>
            <w:tcW w:w="2536" w:type="dxa"/>
            <w:tcBorders>
              <w:top w:val="single" w:sz="8" w:space="0" w:color="000000"/>
              <w:left w:val="single" w:sz="8" w:space="0" w:color="000000"/>
              <w:bottom w:val="single" w:sz="8" w:space="0" w:color="000000"/>
              <w:right w:val="single" w:sz="8" w:space="0" w:color="000000"/>
            </w:tcBorders>
          </w:tcPr>
          <w:p w14:paraId="0FD2956F" w14:textId="77777777" w:rsidR="00023F99" w:rsidRDefault="00523346">
            <w:pPr>
              <w:pStyle w:val="TableParagraph"/>
              <w:spacing w:line="182" w:lineRule="exact"/>
              <w:ind w:right="1"/>
              <w:rPr>
                <w:sz w:val="16"/>
              </w:rPr>
            </w:pPr>
            <w:r>
              <w:rPr>
                <w:sz w:val="16"/>
                <w:lang w:val="fr-CA"/>
              </w:rPr>
              <w:t>1</w:t>
            </w:r>
            <w:r>
              <w:rPr>
                <w:sz w:val="16"/>
                <w:vertAlign w:val="superscript"/>
                <w:lang w:val="fr-CA"/>
              </w:rPr>
              <w:t>er </w:t>
            </w:r>
            <w:r>
              <w:rPr>
                <w:sz w:val="16"/>
                <w:lang w:val="fr-CA"/>
              </w:rPr>
              <w:t>janvier 2017</w:t>
            </w:r>
          </w:p>
        </w:tc>
      </w:tr>
      <w:tr w:rsidR="00023F99" w14:paraId="509E7AC2" w14:textId="77777777" w:rsidTr="008455AE">
        <w:trPr>
          <w:cantSplit/>
          <w:trHeight w:val="368"/>
        </w:trPr>
        <w:tc>
          <w:tcPr>
            <w:tcW w:w="1639" w:type="dxa"/>
            <w:vMerge w:val="restart"/>
            <w:tcBorders>
              <w:top w:val="single" w:sz="8" w:space="0" w:color="000000"/>
              <w:left w:val="single" w:sz="8" w:space="0" w:color="000000"/>
              <w:bottom w:val="single" w:sz="8" w:space="0" w:color="000000"/>
              <w:right w:val="single" w:sz="8" w:space="0" w:color="000000"/>
            </w:tcBorders>
          </w:tcPr>
          <w:p w14:paraId="5F678108" w14:textId="77777777" w:rsidR="00023F99" w:rsidRDefault="00523346">
            <w:pPr>
              <w:pStyle w:val="TableParagraph"/>
              <w:spacing w:line="180" w:lineRule="exact"/>
              <w:ind w:right="3"/>
              <w:rPr>
                <w:sz w:val="16"/>
              </w:rPr>
            </w:pPr>
            <w:r>
              <w:rPr>
                <w:sz w:val="16"/>
                <w:lang w:val="fr-CA"/>
              </w:rPr>
              <w:t>Article 52 des NAI</w:t>
            </w:r>
          </w:p>
        </w:tc>
        <w:tc>
          <w:tcPr>
            <w:tcW w:w="908" w:type="dxa"/>
            <w:vMerge w:val="restart"/>
            <w:tcBorders>
              <w:top w:val="single" w:sz="8" w:space="0" w:color="000000"/>
              <w:left w:val="single" w:sz="8" w:space="0" w:color="000000"/>
              <w:bottom w:val="single" w:sz="8" w:space="0" w:color="000000"/>
              <w:right w:val="single" w:sz="8" w:space="0" w:color="000000"/>
            </w:tcBorders>
          </w:tcPr>
          <w:p w14:paraId="20CDECD2" w14:textId="77777777" w:rsidR="00023F99" w:rsidRDefault="00523346">
            <w:pPr>
              <w:pStyle w:val="TableParagraph"/>
              <w:spacing w:line="180" w:lineRule="exact"/>
              <w:ind w:left="13"/>
              <w:rPr>
                <w:sz w:val="16"/>
              </w:rPr>
            </w:pPr>
            <w:r>
              <w:rPr>
                <w:sz w:val="16"/>
                <w:lang w:val="fr-CA"/>
              </w:rPr>
              <w:t>15</w:t>
            </w:r>
          </w:p>
        </w:tc>
        <w:tc>
          <w:tcPr>
            <w:tcW w:w="4491" w:type="dxa"/>
            <w:tcBorders>
              <w:top w:val="single" w:sz="8" w:space="0" w:color="000000"/>
              <w:left w:val="single" w:sz="8" w:space="0" w:color="000000"/>
              <w:bottom w:val="single" w:sz="8" w:space="0" w:color="000000"/>
              <w:right w:val="single" w:sz="8" w:space="0" w:color="000000"/>
            </w:tcBorders>
          </w:tcPr>
          <w:p w14:paraId="1702F0C2" w14:textId="77777777" w:rsidR="00023F99" w:rsidRDefault="00523346">
            <w:pPr>
              <w:pStyle w:val="TableParagraph"/>
              <w:spacing w:line="180" w:lineRule="exact"/>
              <w:ind w:left="102"/>
              <w:jc w:val="left"/>
              <w:rPr>
                <w:sz w:val="16"/>
              </w:rPr>
            </w:pPr>
            <w:r>
              <w:rPr>
                <w:sz w:val="16"/>
                <w:lang w:val="fr-CA"/>
              </w:rPr>
              <w:t>Annonces à bord</w:t>
            </w:r>
          </w:p>
          <w:p w14:paraId="66DB0C5B" w14:textId="77777777" w:rsidR="00023F99" w:rsidRDefault="00523346">
            <w:pPr>
              <w:pStyle w:val="TableParagraph"/>
              <w:spacing w:before="1" w:line="168" w:lineRule="exact"/>
              <w:ind w:left="3395"/>
              <w:jc w:val="left"/>
              <w:rPr>
                <w:sz w:val="16"/>
              </w:rPr>
            </w:pPr>
            <w:r>
              <w:rPr>
                <w:sz w:val="16"/>
                <w:lang w:val="fr-CA"/>
              </w:rPr>
              <w:t>– verbal</w:t>
            </w:r>
          </w:p>
        </w:tc>
        <w:tc>
          <w:tcPr>
            <w:tcW w:w="2536" w:type="dxa"/>
            <w:tcBorders>
              <w:top w:val="single" w:sz="8" w:space="0" w:color="000000"/>
              <w:left w:val="single" w:sz="8" w:space="0" w:color="000000"/>
              <w:bottom w:val="single" w:sz="8" w:space="0" w:color="000000"/>
              <w:right w:val="single" w:sz="8" w:space="0" w:color="000000"/>
            </w:tcBorders>
          </w:tcPr>
          <w:p w14:paraId="7C75DCA4" w14:textId="77777777" w:rsidR="00023F99" w:rsidRDefault="00523346">
            <w:pPr>
              <w:pStyle w:val="TableParagraph"/>
              <w:spacing w:before="180" w:line="168" w:lineRule="exact"/>
              <w:ind w:right="3"/>
              <w:rPr>
                <w:sz w:val="16"/>
              </w:rPr>
            </w:pPr>
            <w:r>
              <w:rPr>
                <w:sz w:val="16"/>
                <w:lang w:val="fr-CA"/>
              </w:rPr>
              <w:t>1</w:t>
            </w:r>
            <w:r>
              <w:rPr>
                <w:sz w:val="16"/>
                <w:vertAlign w:val="superscript"/>
                <w:lang w:val="fr-CA"/>
              </w:rPr>
              <w:t>er</w:t>
            </w:r>
            <w:r>
              <w:rPr>
                <w:sz w:val="16"/>
                <w:lang w:val="fr-CA"/>
              </w:rPr>
              <w:t> juillet 2011</w:t>
            </w:r>
          </w:p>
        </w:tc>
      </w:tr>
      <w:tr w:rsidR="00023F99" w14:paraId="71A87235" w14:textId="77777777" w:rsidTr="008455AE">
        <w:trPr>
          <w:cantSplit/>
          <w:trHeight w:val="203"/>
        </w:trPr>
        <w:tc>
          <w:tcPr>
            <w:tcW w:w="1639" w:type="dxa"/>
            <w:vMerge/>
            <w:tcBorders>
              <w:top w:val="nil"/>
              <w:left w:val="single" w:sz="8" w:space="0" w:color="000000"/>
              <w:bottom w:val="single" w:sz="8" w:space="0" w:color="000000"/>
              <w:right w:val="single" w:sz="8" w:space="0" w:color="000000"/>
            </w:tcBorders>
          </w:tcPr>
          <w:p w14:paraId="6AD855FE" w14:textId="77777777" w:rsidR="00023F99" w:rsidRDefault="00023F99">
            <w:pPr>
              <w:rPr>
                <w:sz w:val="2"/>
                <w:szCs w:val="2"/>
              </w:rPr>
            </w:pPr>
          </w:p>
        </w:tc>
        <w:tc>
          <w:tcPr>
            <w:tcW w:w="908" w:type="dxa"/>
            <w:vMerge/>
            <w:tcBorders>
              <w:top w:val="nil"/>
              <w:left w:val="single" w:sz="8" w:space="0" w:color="000000"/>
              <w:bottom w:val="single" w:sz="8" w:space="0" w:color="000000"/>
              <w:right w:val="single" w:sz="8" w:space="0" w:color="000000"/>
            </w:tcBorders>
          </w:tcPr>
          <w:p w14:paraId="0867D23C" w14:textId="77777777" w:rsidR="00023F99" w:rsidRDefault="00023F99">
            <w:pPr>
              <w:rPr>
                <w:sz w:val="2"/>
                <w:szCs w:val="2"/>
              </w:rPr>
            </w:pPr>
          </w:p>
        </w:tc>
        <w:tc>
          <w:tcPr>
            <w:tcW w:w="4491" w:type="dxa"/>
            <w:tcBorders>
              <w:top w:val="single" w:sz="8" w:space="0" w:color="000000"/>
              <w:left w:val="single" w:sz="8" w:space="0" w:color="000000"/>
              <w:bottom w:val="single" w:sz="8" w:space="0" w:color="000000"/>
              <w:right w:val="single" w:sz="8" w:space="0" w:color="000000"/>
            </w:tcBorders>
          </w:tcPr>
          <w:p w14:paraId="11F8FD13" w14:textId="77777777" w:rsidR="00023F99" w:rsidRDefault="00523346">
            <w:pPr>
              <w:pStyle w:val="TableParagraph"/>
              <w:spacing w:line="180" w:lineRule="exact"/>
              <w:ind w:left="0" w:right="293"/>
              <w:jc w:val="right"/>
              <w:rPr>
                <w:sz w:val="16"/>
              </w:rPr>
            </w:pPr>
            <w:r>
              <w:rPr>
                <w:sz w:val="16"/>
                <w:lang w:val="fr-CA"/>
              </w:rPr>
              <w:t>– électronique</w:t>
            </w:r>
          </w:p>
        </w:tc>
        <w:tc>
          <w:tcPr>
            <w:tcW w:w="2536" w:type="dxa"/>
            <w:tcBorders>
              <w:top w:val="single" w:sz="8" w:space="0" w:color="000000"/>
              <w:left w:val="single" w:sz="8" w:space="0" w:color="000000"/>
              <w:bottom w:val="single" w:sz="8" w:space="0" w:color="000000"/>
              <w:right w:val="single" w:sz="8" w:space="0" w:color="000000"/>
            </w:tcBorders>
          </w:tcPr>
          <w:p w14:paraId="18117B00" w14:textId="77777777" w:rsidR="00023F99" w:rsidRDefault="00523346">
            <w:pPr>
              <w:pStyle w:val="TableParagraph"/>
              <w:spacing w:line="180" w:lineRule="exact"/>
              <w:ind w:right="1"/>
              <w:rPr>
                <w:sz w:val="16"/>
              </w:rPr>
            </w:pPr>
            <w:r>
              <w:rPr>
                <w:sz w:val="16"/>
                <w:lang w:val="fr-CA"/>
              </w:rPr>
              <w:t>1</w:t>
            </w:r>
            <w:r>
              <w:rPr>
                <w:sz w:val="16"/>
                <w:vertAlign w:val="superscript"/>
                <w:lang w:val="fr-CA"/>
              </w:rPr>
              <w:t>er </w:t>
            </w:r>
            <w:r>
              <w:rPr>
                <w:sz w:val="16"/>
                <w:lang w:val="fr-CA"/>
              </w:rPr>
              <w:t>janvier 2017</w:t>
            </w:r>
          </w:p>
        </w:tc>
      </w:tr>
      <w:tr w:rsidR="00023F99" w14:paraId="0B5F9A4E" w14:textId="77777777" w:rsidTr="008455AE">
        <w:trPr>
          <w:cantSplit/>
          <w:trHeight w:val="184"/>
        </w:trPr>
        <w:tc>
          <w:tcPr>
            <w:tcW w:w="1639" w:type="dxa"/>
            <w:tcBorders>
              <w:top w:val="single" w:sz="8" w:space="0" w:color="000000"/>
              <w:left w:val="single" w:sz="8" w:space="0" w:color="000000"/>
              <w:bottom w:val="single" w:sz="8" w:space="0" w:color="000000"/>
              <w:right w:val="single" w:sz="8" w:space="0" w:color="000000"/>
            </w:tcBorders>
          </w:tcPr>
          <w:p w14:paraId="663258D5" w14:textId="77777777" w:rsidR="00023F99" w:rsidRDefault="00523346">
            <w:pPr>
              <w:pStyle w:val="TableParagraph"/>
              <w:ind w:right="3"/>
              <w:rPr>
                <w:sz w:val="16"/>
              </w:rPr>
            </w:pPr>
            <w:r>
              <w:rPr>
                <w:sz w:val="16"/>
                <w:lang w:val="fr-CA"/>
              </w:rPr>
              <w:t>Article 59 des NAI</w:t>
            </w:r>
          </w:p>
        </w:tc>
        <w:tc>
          <w:tcPr>
            <w:tcW w:w="908" w:type="dxa"/>
            <w:tcBorders>
              <w:top w:val="single" w:sz="8" w:space="0" w:color="000000"/>
              <w:left w:val="single" w:sz="8" w:space="0" w:color="000000"/>
              <w:bottom w:val="single" w:sz="8" w:space="0" w:color="000000"/>
              <w:right w:val="single" w:sz="8" w:space="0" w:color="000000"/>
            </w:tcBorders>
          </w:tcPr>
          <w:p w14:paraId="3486CDB4" w14:textId="77777777" w:rsidR="00023F99" w:rsidRDefault="00523346">
            <w:pPr>
              <w:pStyle w:val="TableParagraph"/>
              <w:ind w:left="17" w:right="4"/>
              <w:rPr>
                <w:sz w:val="16"/>
              </w:rPr>
            </w:pPr>
            <w:r>
              <w:rPr>
                <w:sz w:val="16"/>
                <w:lang w:val="fr-CA"/>
              </w:rPr>
              <w:t>13</w:t>
            </w:r>
          </w:p>
        </w:tc>
        <w:tc>
          <w:tcPr>
            <w:tcW w:w="4491" w:type="dxa"/>
            <w:tcBorders>
              <w:top w:val="single" w:sz="8" w:space="0" w:color="000000"/>
              <w:left w:val="single" w:sz="8" w:space="0" w:color="000000"/>
              <w:bottom w:val="single" w:sz="8" w:space="0" w:color="000000"/>
              <w:right w:val="single" w:sz="8" w:space="0" w:color="000000"/>
            </w:tcBorders>
          </w:tcPr>
          <w:p w14:paraId="328E4291" w14:textId="77777777" w:rsidR="00023F99" w:rsidRDefault="00523346">
            <w:pPr>
              <w:pStyle w:val="TableParagraph"/>
              <w:ind w:left="102"/>
              <w:jc w:val="left"/>
              <w:rPr>
                <w:sz w:val="16"/>
              </w:rPr>
            </w:pPr>
            <w:r>
              <w:rPr>
                <w:sz w:val="16"/>
                <w:lang w:val="fr-CA"/>
              </w:rPr>
              <w:t>Dispositifs de levage</w:t>
            </w:r>
          </w:p>
        </w:tc>
        <w:tc>
          <w:tcPr>
            <w:tcW w:w="2536" w:type="dxa"/>
            <w:tcBorders>
              <w:top w:val="single" w:sz="8" w:space="0" w:color="000000"/>
              <w:left w:val="single" w:sz="8" w:space="0" w:color="000000"/>
              <w:bottom w:val="single" w:sz="8" w:space="0" w:color="000000"/>
              <w:right w:val="single" w:sz="8" w:space="0" w:color="000000"/>
            </w:tcBorders>
          </w:tcPr>
          <w:p w14:paraId="169C75CB" w14:textId="77777777" w:rsidR="00023F99" w:rsidRDefault="00523346">
            <w:pPr>
              <w:pStyle w:val="TableParagraph"/>
              <w:ind w:right="1"/>
              <w:rPr>
                <w:sz w:val="16"/>
              </w:rPr>
            </w:pPr>
            <w:r>
              <w:rPr>
                <w:sz w:val="16"/>
                <w:lang w:val="fr-CA"/>
              </w:rPr>
              <w:t>1</w:t>
            </w:r>
            <w:r>
              <w:rPr>
                <w:sz w:val="16"/>
                <w:vertAlign w:val="superscript"/>
                <w:lang w:val="fr-CA"/>
              </w:rPr>
              <w:t>er</w:t>
            </w:r>
            <w:r>
              <w:rPr>
                <w:sz w:val="16"/>
                <w:lang w:val="fr-CA"/>
              </w:rPr>
              <w:t> janvier 2013</w:t>
            </w:r>
          </w:p>
        </w:tc>
      </w:tr>
      <w:tr w:rsidR="00023F99" w:rsidRPr="002052DC" w14:paraId="7CFFC143" w14:textId="77777777" w:rsidTr="008455AE">
        <w:trPr>
          <w:cantSplit/>
          <w:trHeight w:val="184"/>
        </w:trPr>
        <w:tc>
          <w:tcPr>
            <w:tcW w:w="9574" w:type="dxa"/>
            <w:gridSpan w:val="4"/>
            <w:tcBorders>
              <w:top w:val="single" w:sz="8" w:space="0" w:color="000000"/>
              <w:left w:val="single" w:sz="8" w:space="0" w:color="000000"/>
              <w:bottom w:val="single" w:sz="8" w:space="0" w:color="000000"/>
              <w:right w:val="single" w:sz="8" w:space="0" w:color="000000"/>
            </w:tcBorders>
            <w:shd w:val="clear" w:color="auto" w:fill="C6D9F1"/>
          </w:tcPr>
          <w:p w14:paraId="6DAF6698" w14:textId="77777777" w:rsidR="00023F99" w:rsidRPr="006E0392" w:rsidRDefault="00523346">
            <w:pPr>
              <w:pStyle w:val="TableParagraph"/>
              <w:ind w:left="112"/>
              <w:jc w:val="left"/>
              <w:rPr>
                <w:b/>
                <w:sz w:val="16"/>
                <w:lang w:val="fr-FR"/>
              </w:rPr>
            </w:pPr>
            <w:r>
              <w:rPr>
                <w:b/>
                <w:bCs/>
                <w:sz w:val="16"/>
                <w:lang w:val="fr-CA"/>
              </w:rPr>
              <w:t>RÈGLEMENTS SUR LES NORMES D’ACCESSIBILITÉ POUR LES SERVICES À LA CLIENTÈLE ET SUR LES NORME D’ACCESSIBILITÉ INTÉGRÉES</w:t>
            </w:r>
          </w:p>
        </w:tc>
      </w:tr>
      <w:tr w:rsidR="00023F99" w:rsidRPr="006E0392" w14:paraId="78F361D4" w14:textId="77777777" w:rsidTr="008455AE">
        <w:trPr>
          <w:cantSplit/>
          <w:trHeight w:val="368"/>
        </w:trPr>
        <w:tc>
          <w:tcPr>
            <w:tcW w:w="1639" w:type="dxa"/>
            <w:tcBorders>
              <w:top w:val="single" w:sz="8" w:space="0" w:color="000000"/>
              <w:left w:val="single" w:sz="8" w:space="0" w:color="000000"/>
              <w:bottom w:val="single" w:sz="8" w:space="0" w:color="000000"/>
              <w:right w:val="single" w:sz="8" w:space="0" w:color="000000"/>
            </w:tcBorders>
          </w:tcPr>
          <w:p w14:paraId="7AA624D7" w14:textId="77777777" w:rsidR="00023F99" w:rsidRPr="006E0392" w:rsidRDefault="00523346">
            <w:pPr>
              <w:pStyle w:val="TableParagraph"/>
              <w:spacing w:line="182" w:lineRule="exact"/>
              <w:ind w:right="4"/>
              <w:rPr>
                <w:sz w:val="16"/>
                <w:lang w:val="fr-FR"/>
              </w:rPr>
            </w:pPr>
            <w:r>
              <w:rPr>
                <w:sz w:val="16"/>
                <w:lang w:val="fr-CA"/>
              </w:rPr>
              <w:t>Article 6 des NASC, articles 7 et</w:t>
            </w:r>
          </w:p>
          <w:p w14:paraId="52E055E6" w14:textId="77777777" w:rsidR="00023F99" w:rsidRPr="006E0392" w:rsidRDefault="00523346">
            <w:pPr>
              <w:pStyle w:val="TableParagraph"/>
              <w:spacing w:line="167" w:lineRule="exact"/>
              <w:ind w:right="6"/>
              <w:rPr>
                <w:sz w:val="16"/>
                <w:lang w:val="fr-FR"/>
              </w:rPr>
            </w:pPr>
            <w:r>
              <w:rPr>
                <w:sz w:val="16"/>
                <w:lang w:val="fr-CA"/>
              </w:rPr>
              <w:t>36 des NAI</w:t>
            </w:r>
          </w:p>
        </w:tc>
        <w:tc>
          <w:tcPr>
            <w:tcW w:w="908" w:type="dxa"/>
            <w:tcBorders>
              <w:top w:val="single" w:sz="8" w:space="0" w:color="000000"/>
              <w:left w:val="single" w:sz="8" w:space="0" w:color="000000"/>
              <w:bottom w:val="single" w:sz="8" w:space="0" w:color="000000"/>
              <w:right w:val="single" w:sz="8" w:space="0" w:color="000000"/>
            </w:tcBorders>
          </w:tcPr>
          <w:p w14:paraId="034C33E5" w14:textId="77777777" w:rsidR="00023F99" w:rsidRDefault="00523346">
            <w:pPr>
              <w:pStyle w:val="TableParagraph"/>
              <w:spacing w:line="182" w:lineRule="exact"/>
              <w:ind w:left="17"/>
              <w:rPr>
                <w:sz w:val="16"/>
              </w:rPr>
            </w:pPr>
            <w:r>
              <w:rPr>
                <w:sz w:val="16"/>
                <w:lang w:val="fr-CA"/>
              </w:rPr>
              <w:t>6</w:t>
            </w:r>
          </w:p>
        </w:tc>
        <w:tc>
          <w:tcPr>
            <w:tcW w:w="4491" w:type="dxa"/>
            <w:tcBorders>
              <w:top w:val="single" w:sz="8" w:space="0" w:color="000000"/>
              <w:left w:val="single" w:sz="8" w:space="0" w:color="000000"/>
              <w:bottom w:val="single" w:sz="8" w:space="0" w:color="000000"/>
              <w:right w:val="single" w:sz="8" w:space="0" w:color="000000"/>
            </w:tcBorders>
          </w:tcPr>
          <w:p w14:paraId="1D6F9BC7" w14:textId="77777777" w:rsidR="00023F99" w:rsidRDefault="00523346">
            <w:pPr>
              <w:pStyle w:val="TableParagraph"/>
              <w:spacing w:line="182" w:lineRule="exact"/>
              <w:ind w:left="102"/>
              <w:jc w:val="left"/>
              <w:rPr>
                <w:sz w:val="16"/>
              </w:rPr>
            </w:pPr>
            <w:r>
              <w:rPr>
                <w:sz w:val="16"/>
                <w:lang w:val="fr-CA"/>
              </w:rPr>
              <w:t>Formation</w:t>
            </w:r>
          </w:p>
        </w:tc>
        <w:tc>
          <w:tcPr>
            <w:tcW w:w="2536" w:type="dxa"/>
            <w:tcBorders>
              <w:top w:val="single" w:sz="8" w:space="0" w:color="000000"/>
              <w:left w:val="single" w:sz="8" w:space="0" w:color="000000"/>
              <w:bottom w:val="single" w:sz="8" w:space="0" w:color="000000"/>
              <w:right w:val="single" w:sz="8" w:space="0" w:color="000000"/>
            </w:tcBorders>
          </w:tcPr>
          <w:p w14:paraId="5DB7F4FD" w14:textId="77777777" w:rsidR="00023F99" w:rsidRPr="006E0392" w:rsidRDefault="00523346">
            <w:pPr>
              <w:pStyle w:val="TableParagraph"/>
              <w:spacing w:line="182" w:lineRule="exact"/>
              <w:rPr>
                <w:sz w:val="16"/>
                <w:lang w:val="fr-FR"/>
              </w:rPr>
            </w:pPr>
            <w:r>
              <w:rPr>
                <w:sz w:val="16"/>
                <w:lang w:val="fr-CA"/>
              </w:rPr>
              <w:t>1</w:t>
            </w:r>
            <w:r>
              <w:rPr>
                <w:sz w:val="16"/>
                <w:vertAlign w:val="superscript"/>
                <w:lang w:val="fr-CA"/>
              </w:rPr>
              <w:t>er </w:t>
            </w:r>
            <w:r>
              <w:rPr>
                <w:sz w:val="16"/>
                <w:lang w:val="fr-CA"/>
              </w:rPr>
              <w:t>janvier 2010 (NASC); 1</w:t>
            </w:r>
            <w:r>
              <w:rPr>
                <w:sz w:val="16"/>
                <w:vertAlign w:val="superscript"/>
                <w:lang w:val="fr-CA"/>
              </w:rPr>
              <w:t>er</w:t>
            </w:r>
            <w:r>
              <w:rPr>
                <w:sz w:val="16"/>
                <w:lang w:val="fr-CA"/>
              </w:rPr>
              <w:t> janvier</w:t>
            </w:r>
          </w:p>
          <w:p w14:paraId="753E7AA1" w14:textId="77777777" w:rsidR="00023F99" w:rsidRPr="006E0392" w:rsidRDefault="00523346">
            <w:pPr>
              <w:pStyle w:val="TableParagraph"/>
              <w:spacing w:line="167" w:lineRule="exact"/>
              <w:ind w:right="1"/>
              <w:rPr>
                <w:sz w:val="16"/>
                <w:lang w:val="fr-FR"/>
              </w:rPr>
            </w:pPr>
            <w:r>
              <w:rPr>
                <w:sz w:val="16"/>
                <w:lang w:val="fr-CA"/>
              </w:rPr>
              <w:t>2014 (NAI)</w:t>
            </w:r>
          </w:p>
        </w:tc>
      </w:tr>
      <w:tr w:rsidR="00023F99" w:rsidRPr="002052DC" w14:paraId="5D95FC84" w14:textId="77777777" w:rsidTr="008455AE">
        <w:trPr>
          <w:cantSplit/>
          <w:trHeight w:val="551"/>
        </w:trPr>
        <w:tc>
          <w:tcPr>
            <w:tcW w:w="1639" w:type="dxa"/>
            <w:tcBorders>
              <w:top w:val="single" w:sz="8" w:space="0" w:color="000000"/>
              <w:left w:val="single" w:sz="8" w:space="0" w:color="000000"/>
              <w:bottom w:val="single" w:sz="8" w:space="0" w:color="000000"/>
              <w:right w:val="single" w:sz="8" w:space="0" w:color="000000"/>
            </w:tcBorders>
          </w:tcPr>
          <w:p w14:paraId="2BFCFF39" w14:textId="77777777" w:rsidR="00023F99" w:rsidRPr="006E0392" w:rsidRDefault="00523346">
            <w:pPr>
              <w:pStyle w:val="TableParagraph"/>
              <w:spacing w:line="180" w:lineRule="exact"/>
              <w:ind w:right="6"/>
              <w:rPr>
                <w:sz w:val="16"/>
                <w:lang w:val="fr-FR"/>
              </w:rPr>
            </w:pPr>
            <w:r>
              <w:rPr>
                <w:sz w:val="16"/>
                <w:lang w:val="fr-CA"/>
              </w:rPr>
              <w:t>Article 9 des NASC, articles 12 et</w:t>
            </w:r>
          </w:p>
          <w:p w14:paraId="23D7F544" w14:textId="77777777" w:rsidR="00023F99" w:rsidRPr="006E0392" w:rsidRDefault="00523346">
            <w:pPr>
              <w:pStyle w:val="TableParagraph"/>
              <w:spacing w:before="1" w:line="240" w:lineRule="auto"/>
              <w:ind w:right="6"/>
              <w:rPr>
                <w:sz w:val="16"/>
                <w:lang w:val="fr-FR"/>
              </w:rPr>
            </w:pPr>
            <w:r>
              <w:rPr>
                <w:sz w:val="16"/>
                <w:lang w:val="fr-CA"/>
              </w:rPr>
              <w:t>26 des NAI</w:t>
            </w:r>
          </w:p>
        </w:tc>
        <w:tc>
          <w:tcPr>
            <w:tcW w:w="908" w:type="dxa"/>
            <w:tcBorders>
              <w:top w:val="single" w:sz="8" w:space="0" w:color="000000"/>
              <w:left w:val="single" w:sz="8" w:space="0" w:color="000000"/>
              <w:bottom w:val="single" w:sz="8" w:space="0" w:color="000000"/>
              <w:right w:val="single" w:sz="8" w:space="0" w:color="000000"/>
            </w:tcBorders>
          </w:tcPr>
          <w:p w14:paraId="2EE8F717" w14:textId="77777777" w:rsidR="00023F99" w:rsidRDefault="00523346">
            <w:pPr>
              <w:pStyle w:val="TableParagraph"/>
              <w:spacing w:line="180" w:lineRule="exact"/>
              <w:ind w:left="17"/>
              <w:rPr>
                <w:sz w:val="16"/>
              </w:rPr>
            </w:pPr>
            <w:r>
              <w:rPr>
                <w:sz w:val="16"/>
                <w:lang w:val="fr-CA"/>
              </w:rPr>
              <w:t>9</w:t>
            </w:r>
          </w:p>
        </w:tc>
        <w:tc>
          <w:tcPr>
            <w:tcW w:w="4491" w:type="dxa"/>
            <w:tcBorders>
              <w:top w:val="single" w:sz="8" w:space="0" w:color="000000"/>
              <w:left w:val="single" w:sz="8" w:space="0" w:color="000000"/>
              <w:bottom w:val="single" w:sz="8" w:space="0" w:color="000000"/>
              <w:right w:val="single" w:sz="8" w:space="0" w:color="000000"/>
            </w:tcBorders>
          </w:tcPr>
          <w:p w14:paraId="3A5BE879" w14:textId="77777777" w:rsidR="00023F99" w:rsidRPr="006E0392" w:rsidRDefault="00523346">
            <w:pPr>
              <w:pStyle w:val="TableParagraph"/>
              <w:spacing w:line="180" w:lineRule="exact"/>
              <w:ind w:left="102"/>
              <w:jc w:val="left"/>
              <w:rPr>
                <w:sz w:val="16"/>
                <w:lang w:val="fr-FR"/>
              </w:rPr>
            </w:pPr>
            <w:r>
              <w:rPr>
                <w:sz w:val="16"/>
                <w:lang w:val="fr-CA"/>
              </w:rPr>
              <w:t>Formats accessibles et les aides à la communication</w:t>
            </w:r>
          </w:p>
        </w:tc>
        <w:tc>
          <w:tcPr>
            <w:tcW w:w="2536" w:type="dxa"/>
            <w:tcBorders>
              <w:top w:val="single" w:sz="8" w:space="0" w:color="000000"/>
              <w:left w:val="single" w:sz="8" w:space="0" w:color="000000"/>
              <w:bottom w:val="single" w:sz="8" w:space="0" w:color="000000"/>
              <w:right w:val="single" w:sz="8" w:space="0" w:color="000000"/>
            </w:tcBorders>
          </w:tcPr>
          <w:p w14:paraId="72F24FDB" w14:textId="77777777" w:rsidR="00023F99" w:rsidRPr="006E0392" w:rsidRDefault="00523346">
            <w:pPr>
              <w:pStyle w:val="TableParagraph"/>
              <w:spacing w:line="180" w:lineRule="exact"/>
              <w:rPr>
                <w:sz w:val="16"/>
                <w:lang w:val="fr-FR"/>
              </w:rPr>
            </w:pPr>
            <w:r>
              <w:rPr>
                <w:sz w:val="16"/>
                <w:lang w:val="fr-CA"/>
              </w:rPr>
              <w:t>1</w:t>
            </w:r>
            <w:r>
              <w:rPr>
                <w:sz w:val="16"/>
                <w:vertAlign w:val="superscript"/>
                <w:lang w:val="fr-CA"/>
              </w:rPr>
              <w:t>er </w:t>
            </w:r>
            <w:r>
              <w:rPr>
                <w:sz w:val="16"/>
                <w:lang w:val="fr-CA"/>
              </w:rPr>
              <w:t>janvier 2010 (NASC); 1</w:t>
            </w:r>
            <w:r>
              <w:rPr>
                <w:sz w:val="16"/>
                <w:vertAlign w:val="superscript"/>
                <w:lang w:val="fr-CA"/>
              </w:rPr>
              <w:t>er</w:t>
            </w:r>
            <w:r>
              <w:rPr>
                <w:sz w:val="16"/>
                <w:lang w:val="fr-CA"/>
              </w:rPr>
              <w:t> janvier (NAI)</w:t>
            </w:r>
          </w:p>
          <w:p w14:paraId="54EE85F5" w14:textId="77777777" w:rsidR="00023F99" w:rsidRPr="00A666E2" w:rsidRDefault="00523346">
            <w:pPr>
              <w:pStyle w:val="TableParagraph"/>
              <w:spacing w:line="180" w:lineRule="atLeast"/>
              <w:ind w:right="1"/>
              <w:rPr>
                <w:sz w:val="16"/>
                <w:lang w:val="fr-CA"/>
              </w:rPr>
            </w:pPr>
            <w:r>
              <w:rPr>
                <w:sz w:val="16"/>
                <w:lang w:val="fr-CA"/>
              </w:rPr>
              <w:t>2014 (employés), 1</w:t>
            </w:r>
            <w:r>
              <w:rPr>
                <w:sz w:val="16"/>
                <w:vertAlign w:val="superscript"/>
                <w:lang w:val="fr-CA"/>
              </w:rPr>
              <w:t>er </w:t>
            </w:r>
            <w:r>
              <w:rPr>
                <w:sz w:val="16"/>
                <w:lang w:val="fr-CA"/>
              </w:rPr>
              <w:t>janvier 2015 (public)</w:t>
            </w:r>
          </w:p>
        </w:tc>
      </w:tr>
      <w:tr w:rsidR="00023F99" w:rsidRPr="006E0392" w14:paraId="3508CD7A" w14:textId="77777777" w:rsidTr="008455AE">
        <w:trPr>
          <w:cantSplit/>
          <w:trHeight w:val="368"/>
        </w:trPr>
        <w:tc>
          <w:tcPr>
            <w:tcW w:w="1639" w:type="dxa"/>
            <w:tcBorders>
              <w:top w:val="single" w:sz="8" w:space="0" w:color="000000"/>
              <w:left w:val="single" w:sz="8" w:space="0" w:color="000000"/>
              <w:bottom w:val="single" w:sz="8" w:space="0" w:color="000000"/>
              <w:right w:val="single" w:sz="8" w:space="0" w:color="000000"/>
            </w:tcBorders>
          </w:tcPr>
          <w:p w14:paraId="5E053F19" w14:textId="77777777" w:rsidR="00023F99" w:rsidRPr="006E0392" w:rsidRDefault="00523346">
            <w:pPr>
              <w:pStyle w:val="TableParagraph"/>
              <w:spacing w:line="182" w:lineRule="exact"/>
              <w:ind w:right="3"/>
              <w:rPr>
                <w:sz w:val="16"/>
                <w:lang w:val="fr-FR"/>
              </w:rPr>
            </w:pPr>
            <w:r>
              <w:rPr>
                <w:sz w:val="16"/>
                <w:lang w:val="fr-CA"/>
              </w:rPr>
              <w:t>Article 7 des NASC, articles 11 et</w:t>
            </w:r>
          </w:p>
        </w:tc>
        <w:tc>
          <w:tcPr>
            <w:tcW w:w="908" w:type="dxa"/>
            <w:tcBorders>
              <w:top w:val="single" w:sz="8" w:space="0" w:color="000000"/>
              <w:left w:val="single" w:sz="8" w:space="0" w:color="000000"/>
              <w:bottom w:val="single" w:sz="8" w:space="0" w:color="000000"/>
              <w:right w:val="single" w:sz="8" w:space="0" w:color="000000"/>
            </w:tcBorders>
          </w:tcPr>
          <w:p w14:paraId="0A52988C" w14:textId="77777777" w:rsidR="00023F99" w:rsidRDefault="00523346">
            <w:pPr>
              <w:pStyle w:val="TableParagraph"/>
              <w:spacing w:line="182" w:lineRule="exact"/>
              <w:ind w:left="17" w:right="4"/>
              <w:rPr>
                <w:sz w:val="16"/>
              </w:rPr>
            </w:pPr>
            <w:r>
              <w:rPr>
                <w:sz w:val="16"/>
                <w:lang w:val="fr-CA"/>
              </w:rPr>
              <w:t>10 des NAI</w:t>
            </w:r>
          </w:p>
        </w:tc>
        <w:tc>
          <w:tcPr>
            <w:tcW w:w="4491" w:type="dxa"/>
            <w:tcBorders>
              <w:top w:val="single" w:sz="8" w:space="0" w:color="000000"/>
              <w:left w:val="single" w:sz="8" w:space="0" w:color="000000"/>
              <w:bottom w:val="single" w:sz="8" w:space="0" w:color="000000"/>
              <w:right w:val="single" w:sz="8" w:space="0" w:color="000000"/>
            </w:tcBorders>
          </w:tcPr>
          <w:p w14:paraId="1DB2ED02" w14:textId="77777777" w:rsidR="00023F99" w:rsidRDefault="00523346">
            <w:pPr>
              <w:pStyle w:val="TableParagraph"/>
              <w:spacing w:line="182" w:lineRule="exact"/>
              <w:ind w:left="102"/>
              <w:jc w:val="left"/>
              <w:rPr>
                <w:sz w:val="16"/>
              </w:rPr>
            </w:pPr>
            <w:r>
              <w:rPr>
                <w:sz w:val="16"/>
                <w:lang w:val="fr-CA"/>
              </w:rPr>
              <w:t>Rétroaction</w:t>
            </w:r>
          </w:p>
        </w:tc>
        <w:tc>
          <w:tcPr>
            <w:tcW w:w="2536" w:type="dxa"/>
            <w:tcBorders>
              <w:top w:val="single" w:sz="8" w:space="0" w:color="000000"/>
              <w:left w:val="single" w:sz="8" w:space="0" w:color="000000"/>
              <w:bottom w:val="single" w:sz="8" w:space="0" w:color="000000"/>
              <w:right w:val="single" w:sz="8" w:space="0" w:color="000000"/>
            </w:tcBorders>
          </w:tcPr>
          <w:p w14:paraId="743B1767" w14:textId="77777777" w:rsidR="00023F99" w:rsidRPr="006E0392" w:rsidRDefault="00523346">
            <w:pPr>
              <w:pStyle w:val="TableParagraph"/>
              <w:spacing w:line="182" w:lineRule="exact"/>
              <w:ind w:right="4"/>
              <w:rPr>
                <w:sz w:val="16"/>
                <w:lang w:val="fr-FR"/>
              </w:rPr>
            </w:pPr>
            <w:r>
              <w:rPr>
                <w:sz w:val="16"/>
                <w:lang w:val="fr-CA"/>
              </w:rPr>
              <w:t>1</w:t>
            </w:r>
            <w:r>
              <w:rPr>
                <w:sz w:val="16"/>
                <w:vertAlign w:val="superscript"/>
                <w:lang w:val="fr-CA"/>
              </w:rPr>
              <w:t>er</w:t>
            </w:r>
            <w:r>
              <w:rPr>
                <w:sz w:val="16"/>
                <w:lang w:val="fr-CA"/>
              </w:rPr>
              <w:t> janvier 2010 (NASC);</w:t>
            </w:r>
          </w:p>
          <w:p w14:paraId="19FDB4AB" w14:textId="77777777" w:rsidR="00023F99" w:rsidRPr="006E0392" w:rsidRDefault="00523346">
            <w:pPr>
              <w:pStyle w:val="TableParagraph"/>
              <w:spacing w:line="167" w:lineRule="exact"/>
              <w:ind w:right="1"/>
              <w:rPr>
                <w:sz w:val="16"/>
                <w:lang w:val="fr-FR"/>
              </w:rPr>
            </w:pPr>
            <w:r>
              <w:rPr>
                <w:sz w:val="16"/>
                <w:lang w:val="fr-CA"/>
              </w:rPr>
              <w:t>1</w:t>
            </w:r>
            <w:r>
              <w:rPr>
                <w:sz w:val="16"/>
                <w:vertAlign w:val="superscript"/>
                <w:lang w:val="fr-CA"/>
              </w:rPr>
              <w:t>er </w:t>
            </w:r>
            <w:r>
              <w:rPr>
                <w:sz w:val="16"/>
                <w:lang w:val="fr-CA"/>
              </w:rPr>
              <w:t>janvier 2014 (NAI)</w:t>
            </w:r>
          </w:p>
        </w:tc>
      </w:tr>
      <w:tr w:rsidR="00023F99" w:rsidRPr="006E0392" w14:paraId="21045329" w14:textId="77777777" w:rsidTr="008455AE">
        <w:trPr>
          <w:cantSplit/>
          <w:trHeight w:val="368"/>
        </w:trPr>
        <w:tc>
          <w:tcPr>
            <w:tcW w:w="1639" w:type="dxa"/>
            <w:tcBorders>
              <w:top w:val="single" w:sz="8" w:space="0" w:color="000000"/>
              <w:left w:val="single" w:sz="8" w:space="0" w:color="000000"/>
              <w:bottom w:val="single" w:sz="8" w:space="0" w:color="000000"/>
              <w:right w:val="single" w:sz="8" w:space="0" w:color="000000"/>
            </w:tcBorders>
          </w:tcPr>
          <w:p w14:paraId="2DBF947E" w14:textId="77777777" w:rsidR="00023F99" w:rsidRPr="006E0392" w:rsidRDefault="00523346">
            <w:pPr>
              <w:pStyle w:val="TableParagraph"/>
              <w:spacing w:line="180" w:lineRule="exact"/>
              <w:ind w:right="3"/>
              <w:rPr>
                <w:sz w:val="16"/>
                <w:lang w:val="fr-FR"/>
              </w:rPr>
            </w:pPr>
            <w:r>
              <w:rPr>
                <w:sz w:val="16"/>
                <w:lang w:val="fr-CA"/>
              </w:rPr>
              <w:lastRenderedPageBreak/>
              <w:t>Article 5 des NASC, article 50 des NAI</w:t>
            </w:r>
          </w:p>
        </w:tc>
        <w:tc>
          <w:tcPr>
            <w:tcW w:w="908" w:type="dxa"/>
            <w:tcBorders>
              <w:top w:val="single" w:sz="8" w:space="0" w:color="000000"/>
              <w:left w:val="single" w:sz="8" w:space="0" w:color="000000"/>
              <w:bottom w:val="single" w:sz="8" w:space="0" w:color="000000"/>
              <w:right w:val="single" w:sz="8" w:space="0" w:color="000000"/>
            </w:tcBorders>
          </w:tcPr>
          <w:p w14:paraId="29B07114" w14:textId="77777777" w:rsidR="00023F99" w:rsidRDefault="00523346">
            <w:pPr>
              <w:pStyle w:val="TableParagraph"/>
              <w:spacing w:line="180" w:lineRule="exact"/>
              <w:ind w:left="17" w:right="4"/>
              <w:rPr>
                <w:sz w:val="16"/>
              </w:rPr>
            </w:pPr>
            <w:r>
              <w:rPr>
                <w:sz w:val="16"/>
                <w:lang w:val="fr-CA"/>
              </w:rPr>
              <w:t>14</w:t>
            </w:r>
          </w:p>
        </w:tc>
        <w:tc>
          <w:tcPr>
            <w:tcW w:w="4491" w:type="dxa"/>
            <w:tcBorders>
              <w:top w:val="single" w:sz="8" w:space="0" w:color="000000"/>
              <w:left w:val="single" w:sz="8" w:space="0" w:color="000000"/>
              <w:bottom w:val="single" w:sz="8" w:space="0" w:color="000000"/>
              <w:right w:val="single" w:sz="8" w:space="0" w:color="000000"/>
            </w:tcBorders>
          </w:tcPr>
          <w:p w14:paraId="70EED4CB" w14:textId="77777777" w:rsidR="00023F99" w:rsidRDefault="00523346">
            <w:pPr>
              <w:pStyle w:val="TableParagraph"/>
              <w:spacing w:line="180" w:lineRule="exact"/>
              <w:ind w:left="102"/>
              <w:jc w:val="left"/>
              <w:rPr>
                <w:sz w:val="16"/>
              </w:rPr>
            </w:pPr>
            <w:r>
              <w:rPr>
                <w:sz w:val="16"/>
                <w:lang w:val="fr-CA"/>
              </w:rPr>
              <w:t>Perturbations du service</w:t>
            </w:r>
          </w:p>
        </w:tc>
        <w:tc>
          <w:tcPr>
            <w:tcW w:w="2536" w:type="dxa"/>
            <w:tcBorders>
              <w:top w:val="single" w:sz="8" w:space="0" w:color="000000"/>
              <w:left w:val="single" w:sz="8" w:space="0" w:color="000000"/>
              <w:bottom w:val="single" w:sz="8" w:space="0" w:color="000000"/>
              <w:right w:val="single" w:sz="8" w:space="0" w:color="000000"/>
            </w:tcBorders>
          </w:tcPr>
          <w:p w14:paraId="1566695C" w14:textId="77777777" w:rsidR="00023F99" w:rsidRPr="006E0392" w:rsidRDefault="00523346">
            <w:pPr>
              <w:pStyle w:val="TableParagraph"/>
              <w:spacing w:line="180" w:lineRule="exact"/>
              <w:ind w:right="4"/>
              <w:rPr>
                <w:sz w:val="16"/>
                <w:lang w:val="fr-FR"/>
              </w:rPr>
            </w:pPr>
            <w:r>
              <w:rPr>
                <w:sz w:val="16"/>
                <w:lang w:val="fr-CA"/>
              </w:rPr>
              <w:t>1</w:t>
            </w:r>
            <w:r>
              <w:rPr>
                <w:sz w:val="16"/>
                <w:vertAlign w:val="superscript"/>
                <w:lang w:val="fr-CA"/>
              </w:rPr>
              <w:t>er</w:t>
            </w:r>
            <w:r>
              <w:rPr>
                <w:sz w:val="16"/>
                <w:lang w:val="fr-CA"/>
              </w:rPr>
              <w:t> janvier 2010 (NASC);</w:t>
            </w:r>
          </w:p>
          <w:p w14:paraId="14E49A68" w14:textId="77777777" w:rsidR="00023F99" w:rsidRPr="006E0392" w:rsidRDefault="00523346">
            <w:pPr>
              <w:pStyle w:val="TableParagraph"/>
              <w:spacing w:before="1" w:line="168" w:lineRule="exact"/>
              <w:ind w:right="1"/>
              <w:rPr>
                <w:sz w:val="16"/>
                <w:lang w:val="fr-FR"/>
              </w:rPr>
            </w:pPr>
            <w:r>
              <w:rPr>
                <w:sz w:val="16"/>
                <w:lang w:val="fr-CA"/>
              </w:rPr>
              <w:t>1</w:t>
            </w:r>
            <w:r>
              <w:rPr>
                <w:sz w:val="16"/>
                <w:vertAlign w:val="superscript"/>
                <w:lang w:val="fr-CA"/>
              </w:rPr>
              <w:t>er</w:t>
            </w:r>
            <w:r>
              <w:rPr>
                <w:sz w:val="16"/>
                <w:lang w:val="fr-CA"/>
              </w:rPr>
              <w:t> janvier 2013 (NAI)</w:t>
            </w:r>
          </w:p>
        </w:tc>
      </w:tr>
      <w:tr w:rsidR="00023F99" w:rsidRPr="006E0392" w14:paraId="1587E2F7" w14:textId="77777777" w:rsidTr="008455AE">
        <w:trPr>
          <w:cantSplit/>
          <w:trHeight w:val="368"/>
        </w:trPr>
        <w:tc>
          <w:tcPr>
            <w:tcW w:w="1639" w:type="dxa"/>
            <w:tcBorders>
              <w:top w:val="single" w:sz="8" w:space="0" w:color="000000"/>
              <w:left w:val="single" w:sz="8" w:space="0" w:color="000000"/>
              <w:bottom w:val="single" w:sz="8" w:space="0" w:color="000000"/>
              <w:right w:val="single" w:sz="8" w:space="0" w:color="000000"/>
            </w:tcBorders>
          </w:tcPr>
          <w:p w14:paraId="3DF71B65" w14:textId="77777777" w:rsidR="00023F99" w:rsidRPr="006E0392" w:rsidRDefault="00523346">
            <w:pPr>
              <w:pStyle w:val="TableParagraph"/>
              <w:spacing w:line="180" w:lineRule="exact"/>
              <w:ind w:right="3"/>
              <w:rPr>
                <w:sz w:val="16"/>
                <w:lang w:val="fr-FR"/>
              </w:rPr>
            </w:pPr>
            <w:r>
              <w:rPr>
                <w:sz w:val="16"/>
                <w:lang w:val="fr-CA"/>
              </w:rPr>
              <w:t>Article 4 des NASC, article 38 des NAI</w:t>
            </w:r>
          </w:p>
        </w:tc>
        <w:tc>
          <w:tcPr>
            <w:tcW w:w="908" w:type="dxa"/>
            <w:tcBorders>
              <w:top w:val="single" w:sz="8" w:space="0" w:color="000000"/>
              <w:left w:val="single" w:sz="8" w:space="0" w:color="000000"/>
              <w:bottom w:val="single" w:sz="8" w:space="0" w:color="000000"/>
              <w:right w:val="single" w:sz="8" w:space="0" w:color="000000"/>
            </w:tcBorders>
          </w:tcPr>
          <w:p w14:paraId="4BE2C0D1" w14:textId="77777777" w:rsidR="00023F99" w:rsidRDefault="00523346">
            <w:pPr>
              <w:pStyle w:val="TableParagraph"/>
              <w:spacing w:line="180" w:lineRule="exact"/>
              <w:ind w:left="17" w:right="4"/>
              <w:rPr>
                <w:sz w:val="16"/>
              </w:rPr>
            </w:pPr>
            <w:r>
              <w:rPr>
                <w:sz w:val="16"/>
                <w:lang w:val="fr-CA"/>
              </w:rPr>
              <w:t>16</w:t>
            </w:r>
          </w:p>
        </w:tc>
        <w:tc>
          <w:tcPr>
            <w:tcW w:w="4491" w:type="dxa"/>
            <w:tcBorders>
              <w:top w:val="single" w:sz="8" w:space="0" w:color="000000"/>
              <w:left w:val="single" w:sz="8" w:space="0" w:color="000000"/>
              <w:bottom w:val="single" w:sz="8" w:space="0" w:color="000000"/>
              <w:right w:val="single" w:sz="8" w:space="0" w:color="000000"/>
            </w:tcBorders>
          </w:tcPr>
          <w:p w14:paraId="550BE492" w14:textId="77777777" w:rsidR="00023F99" w:rsidRPr="006E0392" w:rsidRDefault="00523346">
            <w:pPr>
              <w:pStyle w:val="TableParagraph"/>
              <w:spacing w:line="180" w:lineRule="exact"/>
              <w:ind w:left="102"/>
              <w:jc w:val="left"/>
              <w:rPr>
                <w:sz w:val="16"/>
                <w:lang w:val="fr-FR"/>
              </w:rPr>
            </w:pPr>
            <w:r>
              <w:rPr>
                <w:sz w:val="16"/>
                <w:lang w:val="fr-CA"/>
              </w:rPr>
              <w:t>Personnes de soutien (Politiques sur les tarifs et le transport)</w:t>
            </w:r>
          </w:p>
        </w:tc>
        <w:tc>
          <w:tcPr>
            <w:tcW w:w="2536" w:type="dxa"/>
            <w:tcBorders>
              <w:top w:val="single" w:sz="8" w:space="0" w:color="000000"/>
              <w:left w:val="single" w:sz="8" w:space="0" w:color="000000"/>
              <w:bottom w:val="single" w:sz="8" w:space="0" w:color="000000"/>
              <w:right w:val="single" w:sz="8" w:space="0" w:color="000000"/>
            </w:tcBorders>
          </w:tcPr>
          <w:p w14:paraId="444C9C4A" w14:textId="77777777" w:rsidR="00023F99" w:rsidRPr="006E0392" w:rsidRDefault="00523346">
            <w:pPr>
              <w:pStyle w:val="TableParagraph"/>
              <w:spacing w:line="180" w:lineRule="exact"/>
              <w:ind w:right="4"/>
              <w:rPr>
                <w:sz w:val="16"/>
                <w:lang w:val="fr-FR"/>
              </w:rPr>
            </w:pPr>
            <w:r>
              <w:rPr>
                <w:sz w:val="16"/>
                <w:lang w:val="fr-CA"/>
              </w:rPr>
              <w:t>1</w:t>
            </w:r>
            <w:r>
              <w:rPr>
                <w:sz w:val="16"/>
                <w:vertAlign w:val="superscript"/>
                <w:lang w:val="fr-CA"/>
              </w:rPr>
              <w:t>er</w:t>
            </w:r>
            <w:r>
              <w:rPr>
                <w:sz w:val="16"/>
                <w:lang w:val="fr-CA"/>
              </w:rPr>
              <w:t> janvier 2010 (NASC);</w:t>
            </w:r>
          </w:p>
          <w:p w14:paraId="4A14A843" w14:textId="77777777" w:rsidR="00023F99" w:rsidRPr="006E0392" w:rsidRDefault="00523346">
            <w:pPr>
              <w:pStyle w:val="TableParagraph"/>
              <w:spacing w:before="1" w:line="168" w:lineRule="exact"/>
              <w:ind w:right="1"/>
              <w:rPr>
                <w:sz w:val="16"/>
                <w:lang w:val="fr-FR"/>
              </w:rPr>
            </w:pPr>
            <w:r>
              <w:rPr>
                <w:sz w:val="16"/>
                <w:lang w:val="fr-CA"/>
              </w:rPr>
              <w:t>1</w:t>
            </w:r>
            <w:r>
              <w:rPr>
                <w:sz w:val="16"/>
                <w:vertAlign w:val="superscript"/>
                <w:lang w:val="fr-CA"/>
              </w:rPr>
              <w:t>er </w:t>
            </w:r>
            <w:r>
              <w:rPr>
                <w:sz w:val="16"/>
                <w:lang w:val="fr-CA"/>
              </w:rPr>
              <w:t>janvier 2014 (NAI)</w:t>
            </w:r>
          </w:p>
        </w:tc>
      </w:tr>
    </w:tbl>
    <w:p w14:paraId="191AE24B" w14:textId="77777777" w:rsidR="00023F99" w:rsidRPr="006E0392" w:rsidRDefault="00023F99">
      <w:pPr>
        <w:pStyle w:val="TableParagraph"/>
        <w:spacing w:line="168" w:lineRule="exact"/>
        <w:rPr>
          <w:sz w:val="16"/>
          <w:lang w:val="fr-FR"/>
        </w:rPr>
        <w:sectPr w:rsidR="00023F99" w:rsidRPr="006E0392">
          <w:footerReference w:type="default" r:id="rId12"/>
          <w:pgSz w:w="12240" w:h="15840"/>
          <w:pgMar w:top="1420" w:right="720" w:bottom="1260" w:left="1440" w:header="0" w:footer="1070" w:gutter="0"/>
          <w:cols w:space="708"/>
        </w:sectPr>
      </w:pPr>
    </w:p>
    <w:p w14:paraId="37681271" w14:textId="77777777" w:rsidR="00023F99" w:rsidRDefault="00523346">
      <w:pPr>
        <w:pStyle w:val="Heading2"/>
        <w:numPr>
          <w:ilvl w:val="0"/>
          <w:numId w:val="7"/>
        </w:numPr>
        <w:tabs>
          <w:tab w:val="left" w:pos="594"/>
        </w:tabs>
        <w:spacing w:before="74"/>
        <w:ind w:left="594" w:hanging="234"/>
      </w:pPr>
      <w:bookmarkStart w:id="9" w:name="3._Definitions"/>
      <w:bookmarkEnd w:id="9"/>
      <w:r>
        <w:rPr>
          <w:u w:val="single"/>
          <w:lang w:val="fr-CA"/>
        </w:rPr>
        <w:lastRenderedPageBreak/>
        <w:t xml:space="preserve"> </w:t>
      </w:r>
      <w:bookmarkStart w:id="10" w:name="_Toc229053511"/>
      <w:r>
        <w:rPr>
          <w:u w:val="single"/>
          <w:lang w:val="fr-CA"/>
        </w:rPr>
        <w:t>Définitions</w:t>
      </w:r>
      <w:bookmarkEnd w:id="10"/>
    </w:p>
    <w:p w14:paraId="2E983F8F" w14:textId="114AD5C4" w:rsidR="00023F99" w:rsidRPr="00C2001B" w:rsidRDefault="00523346" w:rsidP="00154DF1">
      <w:pPr>
        <w:pStyle w:val="Heading3"/>
        <w:numPr>
          <w:ilvl w:val="1"/>
          <w:numId w:val="7"/>
        </w:numPr>
        <w:spacing w:before="240"/>
        <w:rPr>
          <w:rFonts w:ascii="Arial" w:hAnsi="Arial" w:cs="Arial"/>
          <w:b/>
          <w:bCs/>
          <w:color w:val="000000" w:themeColor="text1"/>
          <w:sz w:val="28"/>
          <w:szCs w:val="28"/>
        </w:rPr>
      </w:pPr>
      <w:bookmarkStart w:id="11" w:name="(a)_Assistive_(Appliance_or)_Device"/>
      <w:bookmarkStart w:id="12" w:name="_Toc229053512"/>
      <w:bookmarkEnd w:id="11"/>
      <w:r w:rsidRPr="00C2001B">
        <w:rPr>
          <w:rFonts w:ascii="Arial" w:hAnsi="Arial" w:cs="Arial"/>
          <w:b/>
          <w:bCs/>
          <w:color w:val="000000" w:themeColor="text1"/>
          <w:sz w:val="28"/>
          <w:szCs w:val="28"/>
          <w:lang w:val="fr-CA"/>
        </w:rPr>
        <w:t>Appareil (ou dispositif) d’assistance</w:t>
      </w:r>
      <w:bookmarkEnd w:id="12"/>
    </w:p>
    <w:p w14:paraId="21CB27DE" w14:textId="77777777" w:rsidR="00023F99" w:rsidRPr="006E0392" w:rsidRDefault="00523346" w:rsidP="00A666E2">
      <w:pPr>
        <w:pStyle w:val="BodyText"/>
        <w:spacing w:before="240"/>
        <w:ind w:right="1156"/>
        <w:rPr>
          <w:lang w:val="fr-FR"/>
        </w:rPr>
      </w:pPr>
      <w:r>
        <w:rPr>
          <w:lang w:val="fr-CA"/>
        </w:rPr>
        <w:t>Un appareil utilisé pour aider les clients ayant des incapacités à accomplir les activités de la vie quotidienne, qu’ils réaliseraient normalement de manière autonome sans les limitations imposées par leur incapacité. Des exemples de ces appareils incluent, sans s’y limiter nécessairement, les fauteuils roulants manuels et motorisés, les triporteurs, les marchettes à roulettes (ces dispositifs sont connus sous le nom d’aides à la mobilité sur roues, ou AMR), les marchettes sans roulettes, les cannes et les béquilles.</w:t>
      </w:r>
    </w:p>
    <w:p w14:paraId="09C53E1A" w14:textId="77777777" w:rsidR="00023F99" w:rsidRPr="00C2001B" w:rsidRDefault="00523346" w:rsidP="00A666E2">
      <w:pPr>
        <w:pStyle w:val="Heading3"/>
        <w:numPr>
          <w:ilvl w:val="1"/>
          <w:numId w:val="7"/>
        </w:numPr>
        <w:spacing w:before="240"/>
        <w:rPr>
          <w:rFonts w:ascii="Arial" w:hAnsi="Arial" w:cs="Arial"/>
          <w:b/>
          <w:bCs/>
          <w:color w:val="000000" w:themeColor="text1"/>
          <w:sz w:val="28"/>
          <w:szCs w:val="28"/>
          <w:lang w:val="fr-CA"/>
        </w:rPr>
      </w:pPr>
      <w:bookmarkStart w:id="13" w:name="(b)_Disability"/>
      <w:bookmarkStart w:id="14" w:name="_Toc229053513"/>
      <w:bookmarkEnd w:id="13"/>
      <w:r w:rsidRPr="00C2001B">
        <w:rPr>
          <w:rFonts w:ascii="Arial" w:hAnsi="Arial" w:cs="Arial"/>
          <w:b/>
          <w:bCs/>
          <w:color w:val="000000" w:themeColor="text1"/>
          <w:sz w:val="28"/>
          <w:szCs w:val="28"/>
          <w:lang w:val="fr-CA"/>
        </w:rPr>
        <w:t>Handicap</w:t>
      </w:r>
      <w:bookmarkEnd w:id="14"/>
    </w:p>
    <w:p w14:paraId="6EEC25BD" w14:textId="77777777" w:rsidR="00023F99" w:rsidRPr="006E0392" w:rsidRDefault="00523346" w:rsidP="00A666E2">
      <w:pPr>
        <w:pStyle w:val="BodyText"/>
        <w:spacing w:before="240"/>
        <w:ind w:right="1124"/>
        <w:rPr>
          <w:lang w:val="fr-FR"/>
        </w:rPr>
      </w:pPr>
      <w:r>
        <w:rPr>
          <w:lang w:val="fr-CA"/>
        </w:rPr>
        <w:t xml:space="preserve">Tout degré d’incapacité physique, d’infirmité, de malformation ou de défigurement dû à une lésion corporelle, une anomalie congénitale ou une maladie, et, notamment, le diabète sucré, l’épilepsie, un traumatisme crânien, tout degré de paralysie, une amputation, l’incoordination motrice, la cécité ou une déficience visuelle, la surdité ou une déficience auditive, la mutité ou un trouble de la parole, ou la nécessité de recourir à un chien-guide ou à un autre animal, à un fauteuil roulant ou à un autre appareil ou dispositif correctif; un état d’affaiblissement mental ou une déficience intellectuelle; une difficulté d’apprentissage ou un dysfonctionnement d’un ou de plusieurs des processus de la compréhension ou de l’utilisation de symboles ou de la langue parlée; un trouble mental; ou une lésion ou un handicap pour laquelle des prestations ont été demandées ou reçues dans le cadre du régime d’assurance créé aux termes de la </w:t>
      </w:r>
      <w:r>
        <w:rPr>
          <w:i/>
          <w:iCs/>
          <w:lang w:val="fr-CA"/>
        </w:rPr>
        <w:t>Loi de 1997 sur la sécurité professionnelle et l’assurance contre les accidents du travail</w:t>
      </w:r>
      <w:r>
        <w:rPr>
          <w:lang w:val="fr-CA"/>
        </w:rPr>
        <w:t>.</w:t>
      </w:r>
    </w:p>
    <w:p w14:paraId="7470A9A2" w14:textId="77777777" w:rsidR="00023F99" w:rsidRPr="00154DF1" w:rsidRDefault="00523346" w:rsidP="00A666E2">
      <w:pPr>
        <w:pStyle w:val="Heading3"/>
        <w:numPr>
          <w:ilvl w:val="1"/>
          <w:numId w:val="7"/>
        </w:numPr>
        <w:spacing w:before="240"/>
        <w:rPr>
          <w:rFonts w:ascii="Arial" w:hAnsi="Arial" w:cs="Arial"/>
          <w:b/>
          <w:bCs/>
          <w:color w:val="000000" w:themeColor="text1"/>
          <w:sz w:val="28"/>
          <w:szCs w:val="28"/>
          <w:lang w:val="fr-CA"/>
        </w:rPr>
      </w:pPr>
      <w:bookmarkStart w:id="15" w:name="(c)_Service_Animal"/>
      <w:bookmarkStart w:id="16" w:name="_Toc229053514"/>
      <w:bookmarkEnd w:id="15"/>
      <w:r w:rsidRPr="00154DF1">
        <w:rPr>
          <w:rFonts w:ascii="Arial" w:hAnsi="Arial" w:cs="Arial"/>
          <w:b/>
          <w:bCs/>
          <w:color w:val="000000" w:themeColor="text1"/>
          <w:sz w:val="28"/>
          <w:szCs w:val="28"/>
          <w:lang w:val="fr-CA"/>
        </w:rPr>
        <w:t>Animal d’assistance</w:t>
      </w:r>
      <w:bookmarkEnd w:id="16"/>
    </w:p>
    <w:p w14:paraId="2128B44C" w14:textId="77777777" w:rsidR="00023F99" w:rsidRPr="006E0392" w:rsidRDefault="00523346" w:rsidP="00A666E2">
      <w:pPr>
        <w:pStyle w:val="BodyText"/>
        <w:spacing w:before="240"/>
        <w:ind w:left="359" w:right="1156"/>
        <w:rPr>
          <w:lang w:val="fr-FR"/>
        </w:rPr>
      </w:pPr>
      <w:r>
        <w:rPr>
          <w:lang w:val="fr-CA"/>
        </w:rPr>
        <w:t>Tout animal utilisé par un client ayant un handicap pour des raisons liées au handicap lorsque l’on peut facilement constater que l’animal est utilisé par le client pour des raisons liées à son handicap; ou lorsque le client fournit une lettre d’un médecin ou d’une infirmière confirmant qu’il ou elle a besoin de l’animal pour des raisons liées à son handicap; ou une carte d’identité valide signée par le procureur général du Canada ou un certificat de formation d’une école reconnue de formation de chien-guide ou d’animal d’assistance.</w:t>
      </w:r>
    </w:p>
    <w:p w14:paraId="6C8059B5" w14:textId="77777777" w:rsidR="00023F99" w:rsidRPr="00154DF1" w:rsidRDefault="00523346" w:rsidP="00101DB4">
      <w:pPr>
        <w:pStyle w:val="Heading3"/>
        <w:numPr>
          <w:ilvl w:val="1"/>
          <w:numId w:val="7"/>
        </w:numPr>
        <w:spacing w:before="120"/>
        <w:rPr>
          <w:rFonts w:ascii="Arial" w:hAnsi="Arial" w:cs="Arial"/>
          <w:b/>
          <w:bCs/>
          <w:color w:val="000000" w:themeColor="text1"/>
          <w:sz w:val="28"/>
          <w:szCs w:val="28"/>
          <w:lang w:val="fr-CA"/>
        </w:rPr>
      </w:pPr>
      <w:bookmarkStart w:id="17" w:name="(d)_Support_Person"/>
      <w:bookmarkStart w:id="18" w:name="_Toc229053515"/>
      <w:bookmarkEnd w:id="17"/>
      <w:r w:rsidRPr="00154DF1">
        <w:rPr>
          <w:rFonts w:ascii="Arial" w:hAnsi="Arial" w:cs="Arial"/>
          <w:b/>
          <w:bCs/>
          <w:color w:val="000000" w:themeColor="text1"/>
          <w:sz w:val="28"/>
          <w:szCs w:val="28"/>
          <w:lang w:val="fr-CA"/>
        </w:rPr>
        <w:lastRenderedPageBreak/>
        <w:t>Personne de soutien</w:t>
      </w:r>
      <w:bookmarkEnd w:id="18"/>
    </w:p>
    <w:p w14:paraId="12FE6812" w14:textId="77777777" w:rsidR="00023F99" w:rsidRPr="006E0392" w:rsidRDefault="00523346">
      <w:pPr>
        <w:pStyle w:val="BodyText"/>
        <w:spacing w:before="283"/>
        <w:ind w:left="359" w:right="1124"/>
        <w:rPr>
          <w:lang w:val="fr-FR"/>
        </w:rPr>
      </w:pPr>
      <w:r>
        <w:rPr>
          <w:lang w:val="fr-CA"/>
        </w:rPr>
        <w:t>La personne qui accompagne un client ayant un handicap pour l’aider avec la communication, la mobilité, les soins personnels, les besoins médicaux ou avec l’accès à des biens ou services.</w:t>
      </w:r>
    </w:p>
    <w:p w14:paraId="44EB42FF" w14:textId="77777777" w:rsidR="00023F99" w:rsidRDefault="00523346">
      <w:pPr>
        <w:pStyle w:val="Heading2"/>
        <w:numPr>
          <w:ilvl w:val="0"/>
          <w:numId w:val="7"/>
        </w:numPr>
        <w:tabs>
          <w:tab w:val="left" w:pos="594"/>
        </w:tabs>
        <w:spacing w:before="277"/>
        <w:ind w:left="594" w:hanging="234"/>
      </w:pPr>
      <w:bookmarkStart w:id="19" w:name="4._Metrolinx’s_Commitment"/>
      <w:bookmarkEnd w:id="19"/>
      <w:r>
        <w:rPr>
          <w:u w:val="single"/>
          <w:lang w:val="fr-CA"/>
        </w:rPr>
        <w:t xml:space="preserve"> </w:t>
      </w:r>
      <w:bookmarkStart w:id="20" w:name="_Toc229053516"/>
      <w:r>
        <w:rPr>
          <w:u w:val="single"/>
          <w:lang w:val="fr-CA"/>
        </w:rPr>
        <w:t>Engagement de Metrolinx</w:t>
      </w:r>
      <w:bookmarkEnd w:id="20"/>
    </w:p>
    <w:p w14:paraId="1075FCEB" w14:textId="77777777" w:rsidR="00023F99" w:rsidRPr="006E0392" w:rsidRDefault="00523346">
      <w:pPr>
        <w:pStyle w:val="BodyText"/>
        <w:spacing w:before="283"/>
        <w:ind w:left="359" w:right="1156"/>
        <w:rPr>
          <w:lang w:val="fr-FR"/>
        </w:rPr>
      </w:pPr>
      <w:r>
        <w:rPr>
          <w:lang w:val="fr-CA"/>
        </w:rPr>
        <w:t xml:space="preserve">Metrolinx s’engage à garantir que ses services et opérations sont accessibles à tous les clients et employés conformément à la </w:t>
      </w:r>
      <w:r>
        <w:rPr>
          <w:i/>
          <w:iCs/>
          <w:lang w:val="fr-CA"/>
        </w:rPr>
        <w:t xml:space="preserve">Loi de 2005 sur l’accessibilité pour les personnes handicapées de l’Ontario </w:t>
      </w:r>
      <w:r>
        <w:rPr>
          <w:lang w:val="fr-CA"/>
        </w:rPr>
        <w:t>(LAPHO), et à collaborer avec les partenaires de la RGTH pour planifier, construire et exploiter un réseau de transport accessible intégré. L’organisation travaillera avec diligence pour éliminer les obstacles à l’accès existants et éviter d’en créer de nouveaux, et fera preuve de leadership en menant de vastes consultations et en intégrant des pratiques exemplaires afin d’améliorer l’accessibilité de ses services.</w:t>
      </w:r>
    </w:p>
    <w:p w14:paraId="19747367" w14:textId="77777777" w:rsidR="00023F99" w:rsidRDefault="00523346">
      <w:pPr>
        <w:pStyle w:val="Heading2"/>
        <w:numPr>
          <w:ilvl w:val="0"/>
          <w:numId w:val="7"/>
        </w:numPr>
        <w:tabs>
          <w:tab w:val="left" w:pos="594"/>
        </w:tabs>
        <w:ind w:left="594" w:hanging="234"/>
      </w:pPr>
      <w:bookmarkStart w:id="21" w:name="5._General_Principles"/>
      <w:bookmarkEnd w:id="21"/>
      <w:r>
        <w:rPr>
          <w:u w:val="single"/>
          <w:lang w:val="fr-CA"/>
        </w:rPr>
        <w:t xml:space="preserve"> </w:t>
      </w:r>
      <w:bookmarkStart w:id="22" w:name="_Toc229053517"/>
      <w:r>
        <w:rPr>
          <w:u w:val="single"/>
          <w:lang w:val="fr-CA"/>
        </w:rPr>
        <w:t>Principes généraux</w:t>
      </w:r>
      <w:bookmarkEnd w:id="22"/>
    </w:p>
    <w:p w14:paraId="237BFA74" w14:textId="77777777" w:rsidR="00023F99" w:rsidRPr="006E0392" w:rsidRDefault="00523346">
      <w:pPr>
        <w:pStyle w:val="BodyText"/>
        <w:spacing w:before="285" w:line="237" w:lineRule="auto"/>
        <w:ind w:right="1098"/>
        <w:rPr>
          <w:lang w:val="fr-FR"/>
        </w:rPr>
      </w:pPr>
      <w:r>
        <w:rPr>
          <w:lang w:val="fr-CA"/>
        </w:rPr>
        <w:t>Metrolinx veillera à ce que ses politiques, pratiques et procédures soient conformes aux principes directeurs suivants :</w:t>
      </w:r>
    </w:p>
    <w:p w14:paraId="66440B48" w14:textId="77777777" w:rsidR="00023F99" w:rsidRPr="006E0392" w:rsidRDefault="00523346">
      <w:pPr>
        <w:pStyle w:val="ListParagraph"/>
        <w:numPr>
          <w:ilvl w:val="0"/>
          <w:numId w:val="6"/>
        </w:numPr>
        <w:tabs>
          <w:tab w:val="left" w:pos="1080"/>
          <w:tab w:val="left" w:pos="1140"/>
        </w:tabs>
        <w:spacing w:before="282"/>
        <w:ind w:right="1179" w:hanging="781"/>
        <w:rPr>
          <w:sz w:val="28"/>
          <w:lang w:val="fr-FR"/>
        </w:rPr>
      </w:pPr>
      <w:r>
        <w:rPr>
          <w:sz w:val="28"/>
          <w:lang w:val="fr-CA"/>
        </w:rPr>
        <w:t>La dignité et l’indépendance de toutes les personnes sont maintenues et respectées;</w:t>
      </w:r>
    </w:p>
    <w:p w14:paraId="5B71AC83" w14:textId="77777777" w:rsidR="00023F99" w:rsidRPr="006E0392" w:rsidRDefault="00523346">
      <w:pPr>
        <w:pStyle w:val="ListParagraph"/>
        <w:numPr>
          <w:ilvl w:val="0"/>
          <w:numId w:val="6"/>
        </w:numPr>
        <w:tabs>
          <w:tab w:val="left" w:pos="1080"/>
        </w:tabs>
        <w:ind w:left="1080" w:right="1088" w:hanging="720"/>
        <w:rPr>
          <w:sz w:val="28"/>
          <w:lang w:val="fr-FR"/>
        </w:rPr>
      </w:pPr>
      <w:r>
        <w:rPr>
          <w:sz w:val="28"/>
          <w:lang w:val="fr-CA"/>
        </w:rPr>
        <w:t>Les services offerts aux clients handicapés sont intégrés à ceux offerts aux clients qui n’ont pas de handicaps apparents, sauf si une autre mesure est nécessaire pour permettre à un client ayant un handicap d’obtenir, d’utiliser ou de bénéficier des services de Metrolinx;</w:t>
      </w:r>
    </w:p>
    <w:p w14:paraId="32F3F1E3" w14:textId="77777777" w:rsidR="00023F99" w:rsidRPr="006E0392" w:rsidRDefault="00523346">
      <w:pPr>
        <w:pStyle w:val="ListParagraph"/>
        <w:numPr>
          <w:ilvl w:val="0"/>
          <w:numId w:val="6"/>
        </w:numPr>
        <w:tabs>
          <w:tab w:val="left" w:pos="1080"/>
        </w:tabs>
        <w:ind w:left="1080" w:right="2784"/>
        <w:jc w:val="both"/>
        <w:rPr>
          <w:sz w:val="28"/>
          <w:lang w:val="fr-FR"/>
        </w:rPr>
      </w:pPr>
      <w:r>
        <w:rPr>
          <w:sz w:val="28"/>
          <w:lang w:val="fr-CA"/>
        </w:rPr>
        <w:t>Les clients handicapés bénéficient de possibilités équivalentes à celles disponibles pour les clients sans handicap pour obtenir, utiliser ou profiter des services de Metrolinx.</w:t>
      </w:r>
    </w:p>
    <w:p w14:paraId="53935234" w14:textId="4412FD17" w:rsidR="00A666E2" w:rsidRDefault="00523346">
      <w:pPr>
        <w:pStyle w:val="ListParagraph"/>
        <w:numPr>
          <w:ilvl w:val="0"/>
          <w:numId w:val="6"/>
        </w:numPr>
        <w:tabs>
          <w:tab w:val="left" w:pos="1081"/>
        </w:tabs>
        <w:ind w:left="1081" w:right="2052"/>
        <w:rPr>
          <w:sz w:val="28"/>
          <w:lang w:val="fr-CA"/>
        </w:rPr>
      </w:pPr>
      <w:r>
        <w:rPr>
          <w:sz w:val="28"/>
          <w:lang w:val="fr-CA"/>
        </w:rPr>
        <w:t>Tous les clients, que leur handicap soit apparent ou non, devraient bénéficier de la même attention à un excellent service à la clientèle, et voir leur besoin d’adaptation pris en compte lorsqu’ils utilisent les services de Metrolinx.</w:t>
      </w:r>
      <w:r w:rsidR="00A666E2">
        <w:rPr>
          <w:sz w:val="28"/>
          <w:lang w:val="fr-CA"/>
        </w:rPr>
        <w:br w:type="page"/>
      </w:r>
    </w:p>
    <w:p w14:paraId="11D9D1BF" w14:textId="77777777" w:rsidR="00023F99" w:rsidRPr="006E0392" w:rsidRDefault="00523346">
      <w:pPr>
        <w:pStyle w:val="ListParagraph"/>
        <w:numPr>
          <w:ilvl w:val="0"/>
          <w:numId w:val="6"/>
        </w:numPr>
        <w:tabs>
          <w:tab w:val="left" w:pos="1080"/>
        </w:tabs>
        <w:spacing w:before="77"/>
        <w:ind w:left="1080" w:right="1399"/>
        <w:rPr>
          <w:sz w:val="28"/>
          <w:lang w:val="fr-FR"/>
        </w:rPr>
      </w:pPr>
      <w:r>
        <w:rPr>
          <w:sz w:val="28"/>
          <w:lang w:val="fr-CA"/>
        </w:rPr>
        <w:lastRenderedPageBreak/>
        <w:t xml:space="preserve">Les commentaires des personnes handicapées sont sollicités par l’intermédiaire d’un Comité consultatif sur l’accessibilité en vigueur, de consultations publiques et d’un examen des clients de certaines propositions précises afin de garantir que </w:t>
      </w:r>
      <w:bookmarkStart w:id="23" w:name="3._Policies"/>
      <w:bookmarkEnd w:id="23"/>
      <w:r>
        <w:rPr>
          <w:sz w:val="28"/>
          <w:lang w:val="fr-CA"/>
        </w:rPr>
        <w:t>les services de Metrolinx répondent aux besoins de tous les clients.</w:t>
      </w:r>
    </w:p>
    <w:p w14:paraId="6C505032" w14:textId="77777777" w:rsidR="00023F99" w:rsidRDefault="00523346">
      <w:pPr>
        <w:pStyle w:val="Heading2"/>
        <w:numPr>
          <w:ilvl w:val="0"/>
          <w:numId w:val="5"/>
        </w:numPr>
        <w:tabs>
          <w:tab w:val="left" w:pos="594"/>
        </w:tabs>
        <w:spacing w:before="274"/>
        <w:ind w:left="594" w:hanging="234"/>
      </w:pPr>
      <w:r>
        <w:rPr>
          <w:u w:val="single"/>
          <w:lang w:val="fr-CA"/>
        </w:rPr>
        <w:t xml:space="preserve"> </w:t>
      </w:r>
      <w:bookmarkStart w:id="24" w:name="_Toc229053518"/>
      <w:r>
        <w:rPr>
          <w:u w:val="single"/>
          <w:lang w:val="fr-CA"/>
        </w:rPr>
        <w:t>Politiques</w:t>
      </w:r>
      <w:bookmarkEnd w:id="24"/>
    </w:p>
    <w:p w14:paraId="602176C3" w14:textId="77777777" w:rsidR="00023F99" w:rsidRPr="00154DF1" w:rsidRDefault="00523346" w:rsidP="00154DF1">
      <w:pPr>
        <w:pStyle w:val="Heading3"/>
        <w:numPr>
          <w:ilvl w:val="1"/>
          <w:numId w:val="7"/>
        </w:numPr>
        <w:spacing w:before="240"/>
        <w:rPr>
          <w:rFonts w:ascii="Arial" w:hAnsi="Arial" w:cs="Arial"/>
          <w:b/>
          <w:bCs/>
          <w:color w:val="000000" w:themeColor="text1"/>
          <w:sz w:val="28"/>
          <w:szCs w:val="28"/>
          <w:lang w:val="fr-CA"/>
        </w:rPr>
      </w:pPr>
      <w:bookmarkStart w:id="25" w:name="(a)_Accessibility_Plan_(IAS_Clause_4)"/>
      <w:bookmarkStart w:id="26" w:name="_Toc229053519"/>
      <w:bookmarkEnd w:id="25"/>
      <w:r w:rsidRPr="00154DF1">
        <w:rPr>
          <w:rFonts w:ascii="Arial" w:hAnsi="Arial" w:cs="Arial"/>
          <w:b/>
          <w:bCs/>
          <w:color w:val="000000" w:themeColor="text1"/>
          <w:sz w:val="28"/>
          <w:szCs w:val="28"/>
          <w:lang w:val="fr-CA"/>
        </w:rPr>
        <w:t>Plan d’accessibilité (article 4 des NAI)</w:t>
      </w:r>
      <w:bookmarkEnd w:id="26"/>
    </w:p>
    <w:p w14:paraId="7ED6068E" w14:textId="77777777" w:rsidR="00023F99" w:rsidRPr="006E0392" w:rsidRDefault="00523346">
      <w:pPr>
        <w:pStyle w:val="BodyText"/>
        <w:spacing w:before="283"/>
        <w:ind w:left="359" w:right="1397"/>
        <w:rPr>
          <w:lang w:val="fr-FR"/>
        </w:rPr>
      </w:pPr>
      <w:r>
        <w:rPr>
          <w:lang w:val="fr-CA"/>
        </w:rPr>
        <w:t>Le Plan pluriannuel d’accessibilité de Metrolinx décrit les initiatives organisationnelles visant à prévenir et à éliminer les obstacles dans notre milieu de travail et nos services. Metrolinx prépare des rapports d’étape annuels sur l’état d’avancement du Plan d’accessibilité, et publiera les rapports d’étape sur notre site Web.</w:t>
      </w:r>
    </w:p>
    <w:p w14:paraId="73C66F1E" w14:textId="77777777" w:rsidR="00023F99" w:rsidRPr="006E0392" w:rsidRDefault="00523346">
      <w:pPr>
        <w:pStyle w:val="BodyText"/>
        <w:spacing w:before="278"/>
        <w:ind w:right="1272" w:hanging="1"/>
        <w:rPr>
          <w:lang w:val="fr-FR"/>
        </w:rPr>
      </w:pPr>
      <w:r>
        <w:rPr>
          <w:lang w:val="fr-CA"/>
        </w:rPr>
        <w:t>Metrolinx entreprendra des consultations annuelles avec les personnes handicapées afin de s’assurer que le contenu du plan pluriannuel répond aux besoins des clients. Les commentaires issus de ces consultations publiques seront envoyés aux divisions opérationnelles appropriées et aux unités opérationnelles pour examen, réponse et mesures, le cas échéant.</w:t>
      </w:r>
    </w:p>
    <w:p w14:paraId="1EA1C3B8" w14:textId="77777777" w:rsidR="00023F99" w:rsidRPr="006E0392" w:rsidRDefault="00523346">
      <w:pPr>
        <w:pStyle w:val="BodyText"/>
        <w:spacing w:before="284" w:line="237" w:lineRule="auto"/>
        <w:ind w:left="361" w:right="1512"/>
        <w:rPr>
          <w:lang w:val="fr-FR"/>
        </w:rPr>
      </w:pPr>
      <w:r>
        <w:rPr>
          <w:lang w:val="fr-CA"/>
        </w:rPr>
        <w:t>Metrolinx examinera et mettra à jour le Plan d’accessibilité au moins une fois tous les cinq ans.</w:t>
      </w:r>
    </w:p>
    <w:p w14:paraId="3EDE1A06" w14:textId="77777777" w:rsidR="00023F99" w:rsidRPr="00154DF1" w:rsidRDefault="00523346" w:rsidP="00154DF1">
      <w:pPr>
        <w:pStyle w:val="Heading3"/>
        <w:numPr>
          <w:ilvl w:val="1"/>
          <w:numId w:val="7"/>
        </w:numPr>
        <w:spacing w:before="240"/>
        <w:rPr>
          <w:rFonts w:ascii="Arial" w:hAnsi="Arial" w:cs="Arial"/>
          <w:b/>
          <w:bCs/>
          <w:color w:val="000000" w:themeColor="text1"/>
          <w:sz w:val="28"/>
          <w:szCs w:val="28"/>
          <w:lang w:val="fr-CA"/>
        </w:rPr>
      </w:pPr>
      <w:bookmarkStart w:id="27" w:name="(b)_Training_(ACSS_Clause_6,_IAS_Clause_"/>
      <w:bookmarkStart w:id="28" w:name="_Toc229053520"/>
      <w:bookmarkEnd w:id="27"/>
      <w:r w:rsidRPr="00154DF1">
        <w:rPr>
          <w:rFonts w:ascii="Arial" w:hAnsi="Arial" w:cs="Arial"/>
          <w:b/>
          <w:bCs/>
          <w:color w:val="000000" w:themeColor="text1"/>
          <w:sz w:val="28"/>
          <w:szCs w:val="28"/>
          <w:lang w:val="fr-CA"/>
        </w:rPr>
        <w:t>Formation (article 6 des NASC, article 7 des NAI, article 36 des NAI)</w:t>
      </w:r>
      <w:bookmarkEnd w:id="28"/>
    </w:p>
    <w:p w14:paraId="69992A26" w14:textId="0B241984" w:rsidR="00193AE8" w:rsidRDefault="00523346">
      <w:pPr>
        <w:pStyle w:val="BodyText"/>
        <w:spacing w:before="280"/>
        <w:ind w:left="361" w:right="1397"/>
        <w:rPr>
          <w:lang w:val="fr-CA"/>
        </w:rPr>
      </w:pPr>
      <w:r>
        <w:rPr>
          <w:lang w:val="fr-CA"/>
        </w:rPr>
        <w:t>Metrolinx veille à ce que toutes les personnes à qui la présente politique s’applique (c’est-à-dire les employés qui fournissent un service direct ou indirect) reçoivent la formation requise par les Normes d’accessibilité pour les services à la clientèle (Règlement de l’Ontario 429/07), les Normes d’accessibilité intégrées (Règlement de l’Ontario 191/11) et le Code des droits de la personne de l’Ontario. La quantité et le format de la formation donnée sont adaptés aux interactions de chaque personne avec le public et à sa participation à l’élaboration de politiques, de procédures et de pratiques relatives à la fourniture de biens et de services.</w:t>
      </w:r>
      <w:r w:rsidR="00193AE8">
        <w:rPr>
          <w:lang w:val="fr-CA"/>
        </w:rPr>
        <w:br w:type="page"/>
      </w:r>
    </w:p>
    <w:p w14:paraId="08E41549" w14:textId="77777777" w:rsidR="00023F99" w:rsidRPr="006E0392" w:rsidRDefault="00523346" w:rsidP="004D15CA">
      <w:pPr>
        <w:pStyle w:val="BodyText"/>
        <w:spacing w:before="240"/>
        <w:ind w:left="357" w:right="1412"/>
        <w:rPr>
          <w:lang w:val="fr-FR"/>
        </w:rPr>
      </w:pPr>
      <w:r>
        <w:rPr>
          <w:lang w:val="fr-CA"/>
        </w:rPr>
        <w:lastRenderedPageBreak/>
        <w:t>Tous les employés de première ligne reçoivent une formation avant d’assumer les tâches et les responsabilités de leur emploi et au moins une fois tous les cinq ans par la suite. Tous les employés fournissant un service indirect recevront et auront un accès continu à un programme en ligne conforme aux normes de la LAPHO.</w:t>
      </w:r>
    </w:p>
    <w:p w14:paraId="31113869" w14:textId="4E6E3FDE" w:rsidR="00023F99" w:rsidRPr="00154DF1" w:rsidRDefault="00523346" w:rsidP="00C369EB">
      <w:pPr>
        <w:pStyle w:val="Heading4"/>
        <w:numPr>
          <w:ilvl w:val="2"/>
          <w:numId w:val="5"/>
        </w:numPr>
        <w:spacing w:before="240"/>
        <w:rPr>
          <w:rFonts w:ascii="Arial" w:hAnsi="Arial" w:cs="Arial"/>
          <w:i w:val="0"/>
          <w:iCs w:val="0"/>
          <w:color w:val="000000" w:themeColor="text1"/>
          <w:sz w:val="28"/>
          <w:szCs w:val="28"/>
          <w:lang w:val="fr-FR"/>
        </w:rPr>
      </w:pPr>
      <w:bookmarkStart w:id="29" w:name="(i)_Sign_Language_Training"/>
      <w:bookmarkStart w:id="30" w:name="_Toc229053521"/>
      <w:bookmarkEnd w:id="29"/>
      <w:r w:rsidRPr="00154DF1">
        <w:rPr>
          <w:rFonts w:ascii="Arial" w:hAnsi="Arial" w:cs="Arial"/>
          <w:i w:val="0"/>
          <w:iCs w:val="0"/>
          <w:color w:val="000000" w:themeColor="text1"/>
          <w:sz w:val="28"/>
          <w:szCs w:val="28"/>
          <w:lang w:val="fr-CA"/>
        </w:rPr>
        <w:t>Formation en langue des signes</w:t>
      </w:r>
      <w:bookmarkEnd w:id="30"/>
    </w:p>
    <w:p w14:paraId="7CADD208" w14:textId="77777777" w:rsidR="00023F99" w:rsidRPr="006E0392" w:rsidRDefault="00523346">
      <w:pPr>
        <w:pStyle w:val="BodyText"/>
        <w:spacing w:before="285" w:line="237" w:lineRule="auto"/>
        <w:ind w:right="1098"/>
        <w:rPr>
          <w:lang w:val="fr-FR"/>
        </w:rPr>
      </w:pPr>
      <w:r>
        <w:rPr>
          <w:lang w:val="fr-CA"/>
        </w:rPr>
        <w:t>Metrolinx subvient entièrement aux frais de la formation en langue des signes pour tous les employés qui réussissent un cours approuvé.</w:t>
      </w:r>
    </w:p>
    <w:p w14:paraId="335F7E75" w14:textId="3DC71BDD" w:rsidR="00023F99" w:rsidRPr="00154DF1" w:rsidRDefault="00523346" w:rsidP="001E3702">
      <w:pPr>
        <w:pStyle w:val="Heading4"/>
        <w:numPr>
          <w:ilvl w:val="2"/>
          <w:numId w:val="5"/>
        </w:numPr>
        <w:spacing w:before="240"/>
        <w:ind w:left="720" w:hanging="361"/>
        <w:rPr>
          <w:rFonts w:ascii="Arial" w:hAnsi="Arial" w:cs="Arial"/>
          <w:i w:val="0"/>
          <w:iCs w:val="0"/>
          <w:color w:val="000000" w:themeColor="text1"/>
          <w:sz w:val="28"/>
          <w:szCs w:val="28"/>
          <w:lang w:val="fr-CA"/>
        </w:rPr>
      </w:pPr>
      <w:bookmarkStart w:id="31" w:name="(ii)_Records_of_Training"/>
      <w:bookmarkStart w:id="32" w:name="_Toc229053522"/>
      <w:bookmarkEnd w:id="31"/>
      <w:r w:rsidRPr="00154DF1">
        <w:rPr>
          <w:rFonts w:ascii="Arial" w:hAnsi="Arial" w:cs="Arial"/>
          <w:i w:val="0"/>
          <w:iCs w:val="0"/>
          <w:color w:val="000000" w:themeColor="text1"/>
          <w:sz w:val="28"/>
          <w:szCs w:val="28"/>
          <w:lang w:val="fr-CA"/>
        </w:rPr>
        <w:t>Dossiers de formation</w:t>
      </w:r>
      <w:bookmarkEnd w:id="32"/>
    </w:p>
    <w:p w14:paraId="71832A97" w14:textId="77777777" w:rsidR="00023F99" w:rsidRPr="006E0392" w:rsidRDefault="00523346">
      <w:pPr>
        <w:pStyle w:val="BodyText"/>
        <w:spacing w:before="283"/>
        <w:ind w:left="359" w:right="1098"/>
        <w:rPr>
          <w:lang w:val="fr-FR"/>
        </w:rPr>
      </w:pPr>
      <w:r>
        <w:rPr>
          <w:lang w:val="fr-CA"/>
        </w:rPr>
        <w:t xml:space="preserve">Metrolinx conserve des dossiers de formation, y compris la date à laquelle la formation est fournie et le nombre de personnes auxquelles elle est fournie. Les noms des personnes formées sont enregistrés aux fins d’administration de la formation, sous réserve de la </w:t>
      </w:r>
      <w:r>
        <w:rPr>
          <w:i/>
          <w:iCs/>
          <w:lang w:val="fr-CA"/>
        </w:rPr>
        <w:t xml:space="preserve">Loi provinciale sur l’accès à l’information et la protection de la vie privée </w:t>
      </w:r>
      <w:r>
        <w:rPr>
          <w:lang w:val="fr-CA"/>
        </w:rPr>
        <w:t>(LAIPVP).</w:t>
      </w:r>
    </w:p>
    <w:p w14:paraId="5005C5C3" w14:textId="77777777" w:rsidR="00023F99" w:rsidRPr="006E0392" w:rsidRDefault="00523346">
      <w:pPr>
        <w:pStyle w:val="BodyText"/>
        <w:spacing w:before="282"/>
        <w:ind w:left="359" w:right="1156"/>
        <w:rPr>
          <w:lang w:val="fr-FR"/>
        </w:rPr>
      </w:pPr>
      <w:r>
        <w:rPr>
          <w:lang w:val="fr-CA"/>
        </w:rPr>
        <w:t>Le personnel est formé lorsqu’il commence son emploi et lorsque des changements sont apportés aux exigences obligatoires applicables ou aux pratiques de l’entreprise.</w:t>
      </w:r>
    </w:p>
    <w:p w14:paraId="08809AB1" w14:textId="638CEC8D" w:rsidR="00023F99" w:rsidRPr="00154DF1" w:rsidRDefault="00523346" w:rsidP="00AF71BB">
      <w:pPr>
        <w:pStyle w:val="Heading3"/>
        <w:numPr>
          <w:ilvl w:val="1"/>
          <w:numId w:val="7"/>
        </w:numPr>
        <w:spacing w:before="360"/>
        <w:ind w:right="1260"/>
        <w:rPr>
          <w:rFonts w:ascii="Arial" w:hAnsi="Arial" w:cs="Arial"/>
          <w:b/>
          <w:bCs/>
          <w:color w:val="000000" w:themeColor="text1"/>
          <w:sz w:val="28"/>
          <w:szCs w:val="28"/>
          <w:lang w:val="fr-CA"/>
        </w:rPr>
      </w:pPr>
      <w:bookmarkStart w:id="33" w:name="(c)_Accessible_Formats_and_Communication"/>
      <w:bookmarkStart w:id="34" w:name="_Toc229053523"/>
      <w:bookmarkEnd w:id="33"/>
      <w:r w:rsidRPr="00154DF1">
        <w:rPr>
          <w:rFonts w:ascii="Arial" w:hAnsi="Arial" w:cs="Arial"/>
          <w:b/>
          <w:bCs/>
          <w:color w:val="000000" w:themeColor="text1"/>
          <w:sz w:val="28"/>
          <w:szCs w:val="28"/>
          <w:lang w:val="fr-CA"/>
        </w:rPr>
        <w:t>Formats accessibles et aides à la communication (articles 12 et 26 des NAI,</w:t>
      </w:r>
      <w:bookmarkStart w:id="35" w:name="Clauses_12,_26_ACSS_Clause_9)"/>
      <w:bookmarkEnd w:id="35"/>
      <w:r w:rsidRPr="00154DF1">
        <w:rPr>
          <w:rFonts w:ascii="Arial" w:hAnsi="Arial" w:cs="Arial"/>
          <w:b/>
          <w:bCs/>
          <w:color w:val="000000" w:themeColor="text1"/>
          <w:sz w:val="28"/>
          <w:szCs w:val="28"/>
          <w:lang w:val="fr-CA"/>
        </w:rPr>
        <w:t xml:space="preserve"> article 9 des NASC)</w:t>
      </w:r>
      <w:bookmarkEnd w:id="34"/>
    </w:p>
    <w:p w14:paraId="48BB2B67" w14:textId="77777777" w:rsidR="00023F99" w:rsidRPr="006E0392" w:rsidRDefault="00523346">
      <w:pPr>
        <w:pStyle w:val="BodyText"/>
        <w:spacing w:before="278"/>
        <w:ind w:left="359" w:right="1512"/>
        <w:rPr>
          <w:lang w:val="fr-FR"/>
        </w:rPr>
      </w:pPr>
      <w:r>
        <w:rPr>
          <w:lang w:val="fr-CA"/>
        </w:rPr>
        <w:t>Metrolinx distribue de l’information aux clients, partenaires d’affaires et employés en utilisant des formats exemplaires reconnus utiles par la majorité des personnes ayant divers types de handicaps. Sur demande, Metrolinx travaillera avec les personnes handicapées pour fournir, ou organiser la fourniture d’informations dans des formats accessibles et pour offrir une aide à la communication adaptée à cette personne.</w:t>
      </w:r>
    </w:p>
    <w:p w14:paraId="4F7CE39C" w14:textId="792EB491" w:rsidR="00023F99" w:rsidRPr="006E0392" w:rsidRDefault="00523346">
      <w:pPr>
        <w:pStyle w:val="BodyText"/>
        <w:spacing w:before="2"/>
        <w:ind w:left="359" w:right="1397"/>
        <w:rPr>
          <w:lang w:val="fr-FR"/>
        </w:rPr>
      </w:pPr>
      <w:r>
        <w:rPr>
          <w:lang w:val="fr-CA"/>
        </w:rPr>
        <w:t>Metrolinx travaillera également avec des employés spécifiques pour fournir ou organiser la fourniture des</w:t>
      </w:r>
      <w:r w:rsidR="00133A79">
        <w:rPr>
          <w:lang w:val="fr-CA"/>
        </w:rPr>
        <w:t xml:space="preserve"> </w:t>
      </w:r>
      <w:r>
        <w:rPr>
          <w:lang w:val="fr-CA"/>
        </w:rPr>
        <w:t>renseignements nécessaires dans d’autres formats accessibles afin de permettre à la personne d’accomplir son travail. L’information dans des formats accessibles sera fournie en temps opportun.</w:t>
      </w:r>
    </w:p>
    <w:p w14:paraId="32FBE852" w14:textId="5E10D233" w:rsidR="00023F99" w:rsidRPr="006E0392" w:rsidRDefault="00523346" w:rsidP="00226C81">
      <w:pPr>
        <w:pStyle w:val="BodyText"/>
        <w:spacing w:before="279"/>
        <w:ind w:right="1397"/>
        <w:rPr>
          <w:lang w:val="fr-FR"/>
        </w:rPr>
      </w:pPr>
      <w:r>
        <w:rPr>
          <w:lang w:val="fr-CA"/>
        </w:rPr>
        <w:lastRenderedPageBreak/>
        <w:t>Dans les zones où Metrolinx travaille encore à rendre les documents plus accessibles (formulaires en ligne, sondages et cartes par exemple), Metrolinx s’engage à respecter ces exigences bien à l’avance</w:t>
      </w:r>
      <w:r w:rsidR="00226C81" w:rsidRPr="006E0392">
        <w:rPr>
          <w:lang w:val="fr-FR"/>
        </w:rPr>
        <w:t xml:space="preserve"> </w:t>
      </w:r>
      <w:r>
        <w:rPr>
          <w:lang w:val="fr-CA"/>
        </w:rPr>
        <w:t>des dates de conformité nécessaires. La pleine conformité en ce qui concerne les formats accessibles sera en place pour les clients d’ici la date requise du 1</w:t>
      </w:r>
      <w:r>
        <w:rPr>
          <w:vertAlign w:val="superscript"/>
          <w:lang w:val="fr-CA"/>
        </w:rPr>
        <w:t>er</w:t>
      </w:r>
      <w:r>
        <w:rPr>
          <w:lang w:val="fr-CA"/>
        </w:rPr>
        <w:t> janvier 2015 et pour les employés d’ici le 1</w:t>
      </w:r>
      <w:r>
        <w:rPr>
          <w:vertAlign w:val="superscript"/>
          <w:lang w:val="fr-CA"/>
        </w:rPr>
        <w:t>er</w:t>
      </w:r>
      <w:r>
        <w:rPr>
          <w:lang w:val="fr-CA"/>
        </w:rPr>
        <w:t> janvier 2014.</w:t>
      </w:r>
    </w:p>
    <w:p w14:paraId="050C51B5" w14:textId="77777777" w:rsidR="00023F99" w:rsidRPr="006E0392" w:rsidRDefault="00523346" w:rsidP="00193AE8">
      <w:pPr>
        <w:pStyle w:val="BodyText"/>
        <w:spacing w:before="220"/>
        <w:ind w:right="1098"/>
        <w:rPr>
          <w:lang w:val="fr-FR"/>
        </w:rPr>
      </w:pPr>
      <w:r>
        <w:rPr>
          <w:lang w:val="fr-CA"/>
        </w:rPr>
        <w:t>En particulier, Metrolinx veillera à ce que les types d’information suivants soient disponibles dans des formats accessibles conformément à la réglementation :</w:t>
      </w:r>
    </w:p>
    <w:p w14:paraId="44A73DE8" w14:textId="77777777" w:rsidR="00023F99" w:rsidRDefault="00523346" w:rsidP="00193AE8">
      <w:pPr>
        <w:pStyle w:val="ListParagraph"/>
        <w:numPr>
          <w:ilvl w:val="0"/>
          <w:numId w:val="4"/>
        </w:numPr>
        <w:tabs>
          <w:tab w:val="left" w:pos="1080"/>
        </w:tabs>
        <w:spacing w:before="240" w:line="342" w:lineRule="exact"/>
        <w:ind w:left="1080" w:hanging="720"/>
        <w:rPr>
          <w:sz w:val="28"/>
        </w:rPr>
      </w:pPr>
      <w:r>
        <w:rPr>
          <w:sz w:val="28"/>
          <w:lang w:val="fr-CA"/>
        </w:rPr>
        <w:t>les politiques d’accessibilité</w:t>
      </w:r>
    </w:p>
    <w:p w14:paraId="5EFECD1D" w14:textId="77777777" w:rsidR="00023F99" w:rsidRDefault="00523346">
      <w:pPr>
        <w:pStyle w:val="ListParagraph"/>
        <w:numPr>
          <w:ilvl w:val="0"/>
          <w:numId w:val="4"/>
        </w:numPr>
        <w:tabs>
          <w:tab w:val="left" w:pos="1080"/>
        </w:tabs>
        <w:spacing w:line="341" w:lineRule="exact"/>
        <w:ind w:left="1080" w:hanging="720"/>
        <w:rPr>
          <w:sz w:val="28"/>
        </w:rPr>
      </w:pPr>
      <w:r>
        <w:rPr>
          <w:sz w:val="28"/>
          <w:lang w:val="fr-CA"/>
        </w:rPr>
        <w:t>les plans d’accessibilité</w:t>
      </w:r>
    </w:p>
    <w:p w14:paraId="700FB796" w14:textId="77777777" w:rsidR="00023F99" w:rsidRDefault="00523346">
      <w:pPr>
        <w:pStyle w:val="ListParagraph"/>
        <w:numPr>
          <w:ilvl w:val="0"/>
          <w:numId w:val="4"/>
        </w:numPr>
        <w:tabs>
          <w:tab w:val="left" w:pos="1080"/>
        </w:tabs>
        <w:spacing w:line="341" w:lineRule="exact"/>
        <w:ind w:left="1080" w:hanging="720"/>
        <w:rPr>
          <w:sz w:val="28"/>
        </w:rPr>
      </w:pPr>
      <w:r>
        <w:rPr>
          <w:sz w:val="28"/>
          <w:lang w:val="fr-CA"/>
        </w:rPr>
        <w:t>les processus de rétroaction</w:t>
      </w:r>
    </w:p>
    <w:p w14:paraId="2602DE78" w14:textId="77777777" w:rsidR="00023F99" w:rsidRPr="00711571" w:rsidRDefault="00523346">
      <w:pPr>
        <w:pStyle w:val="ListParagraph"/>
        <w:numPr>
          <w:ilvl w:val="0"/>
          <w:numId w:val="4"/>
        </w:numPr>
        <w:tabs>
          <w:tab w:val="left" w:pos="1081"/>
        </w:tabs>
        <w:spacing w:line="341" w:lineRule="exact"/>
        <w:ind w:left="1081"/>
        <w:rPr>
          <w:sz w:val="28"/>
          <w:lang w:val="fr-FR"/>
        </w:rPr>
      </w:pPr>
      <w:r>
        <w:rPr>
          <w:sz w:val="28"/>
          <w:lang w:val="fr-CA"/>
        </w:rPr>
        <w:t>les plans d’urgence, les procédures et les documents de sécurité publique</w:t>
      </w:r>
    </w:p>
    <w:p w14:paraId="571D6780" w14:textId="77777777" w:rsidR="00023F99" w:rsidRPr="00711571" w:rsidRDefault="00523346">
      <w:pPr>
        <w:pStyle w:val="ListParagraph"/>
        <w:numPr>
          <w:ilvl w:val="0"/>
          <w:numId w:val="4"/>
        </w:numPr>
        <w:tabs>
          <w:tab w:val="left" w:pos="1064"/>
          <w:tab w:val="left" w:pos="1081"/>
        </w:tabs>
        <w:ind w:right="1541" w:hanging="704"/>
        <w:rPr>
          <w:sz w:val="28"/>
          <w:lang w:val="fr-FR"/>
        </w:rPr>
      </w:pPr>
      <w:r>
        <w:rPr>
          <w:sz w:val="28"/>
          <w:lang w:val="fr-CA"/>
        </w:rPr>
        <w:t>les documents requis pour que les employés puissent effectuer leur travail, ou qui sont généralement disponibles pour les employés</w:t>
      </w:r>
    </w:p>
    <w:p w14:paraId="1E188566" w14:textId="77777777" w:rsidR="00023F99" w:rsidRDefault="00523346">
      <w:pPr>
        <w:pStyle w:val="ListParagraph"/>
        <w:numPr>
          <w:ilvl w:val="0"/>
          <w:numId w:val="4"/>
        </w:numPr>
        <w:tabs>
          <w:tab w:val="left" w:pos="1081"/>
        </w:tabs>
        <w:spacing w:line="342" w:lineRule="exact"/>
        <w:ind w:left="1081" w:hanging="720"/>
        <w:rPr>
          <w:sz w:val="28"/>
        </w:rPr>
      </w:pPr>
      <w:r>
        <w:rPr>
          <w:sz w:val="28"/>
          <w:lang w:val="fr-CA"/>
        </w:rPr>
        <w:t>les plans d’adaptation individuels</w:t>
      </w:r>
    </w:p>
    <w:p w14:paraId="2DC2631C" w14:textId="77777777" w:rsidR="00023F99" w:rsidRDefault="00523346">
      <w:pPr>
        <w:pStyle w:val="ListParagraph"/>
        <w:numPr>
          <w:ilvl w:val="0"/>
          <w:numId w:val="4"/>
        </w:numPr>
        <w:tabs>
          <w:tab w:val="left" w:pos="1081"/>
        </w:tabs>
        <w:spacing w:line="341" w:lineRule="exact"/>
        <w:ind w:left="1081" w:hanging="720"/>
        <w:rPr>
          <w:sz w:val="28"/>
        </w:rPr>
      </w:pPr>
      <w:r>
        <w:rPr>
          <w:sz w:val="28"/>
          <w:lang w:val="fr-CA"/>
        </w:rPr>
        <w:t>les informations sur l’équipement accessible</w:t>
      </w:r>
    </w:p>
    <w:p w14:paraId="156106D6" w14:textId="77777777" w:rsidR="00023F99" w:rsidRPr="00711571" w:rsidRDefault="00523346">
      <w:pPr>
        <w:pStyle w:val="ListParagraph"/>
        <w:numPr>
          <w:ilvl w:val="0"/>
          <w:numId w:val="4"/>
        </w:numPr>
        <w:tabs>
          <w:tab w:val="left" w:pos="1081"/>
        </w:tabs>
        <w:spacing w:line="340" w:lineRule="exact"/>
        <w:ind w:left="1081" w:hanging="720"/>
        <w:rPr>
          <w:sz w:val="28"/>
          <w:lang w:val="fr-FR"/>
        </w:rPr>
      </w:pPr>
      <w:r>
        <w:rPr>
          <w:sz w:val="28"/>
          <w:lang w:val="fr-CA"/>
        </w:rPr>
        <w:t>les politiques de préparation et d’intervention en cas d’urgence</w:t>
      </w:r>
    </w:p>
    <w:p w14:paraId="464FF52A" w14:textId="1105E6FF" w:rsidR="00023F99" w:rsidRPr="00711571" w:rsidRDefault="00523346">
      <w:pPr>
        <w:pStyle w:val="ListParagraph"/>
        <w:numPr>
          <w:ilvl w:val="0"/>
          <w:numId w:val="4"/>
        </w:numPr>
        <w:tabs>
          <w:tab w:val="left" w:pos="1082"/>
        </w:tabs>
        <w:spacing w:line="341" w:lineRule="exact"/>
        <w:ind w:left="1082"/>
        <w:rPr>
          <w:sz w:val="28"/>
          <w:lang w:val="fr-FR"/>
        </w:rPr>
      </w:pPr>
      <w:r>
        <w:rPr>
          <w:sz w:val="28"/>
          <w:lang w:val="fr-CA"/>
        </w:rPr>
        <w:t xml:space="preserve">les informations sur les procédures </w:t>
      </w:r>
      <w:r w:rsidR="003A78C6">
        <w:rPr>
          <w:sz w:val="28"/>
          <w:lang w:val="fr-CA"/>
        </w:rPr>
        <w:t>d</w:t>
      </w:r>
      <w:r>
        <w:rPr>
          <w:sz w:val="28"/>
          <w:lang w:val="fr-CA"/>
        </w:rPr>
        <w:t>’embarquement à bord des véhicules</w:t>
      </w:r>
    </w:p>
    <w:p w14:paraId="047D39A8" w14:textId="77777777" w:rsidR="00023F99" w:rsidRPr="006E0392" w:rsidRDefault="00523346" w:rsidP="00193AE8">
      <w:pPr>
        <w:pStyle w:val="BodyText"/>
        <w:spacing w:before="200"/>
        <w:ind w:left="362" w:right="1397"/>
        <w:rPr>
          <w:lang w:val="fr-FR"/>
        </w:rPr>
      </w:pPr>
      <w:r>
        <w:rPr>
          <w:lang w:val="fr-CA"/>
        </w:rPr>
        <w:t>Metrolinx informe le public de la disponibilité de formats et d’aides en communication accessibles dans une déclaration générale sur son site Web, et en association avec chacun des documents qui doivent être fournis, sur demande, dans un format accessible conformément au règlement.</w:t>
      </w:r>
    </w:p>
    <w:p w14:paraId="53199D00" w14:textId="77777777" w:rsidR="00023F99" w:rsidRPr="00154DF1" w:rsidRDefault="00523346" w:rsidP="00193AE8">
      <w:pPr>
        <w:pStyle w:val="Heading3"/>
        <w:numPr>
          <w:ilvl w:val="1"/>
          <w:numId w:val="7"/>
        </w:numPr>
        <w:spacing w:before="200"/>
        <w:rPr>
          <w:rFonts w:ascii="Arial" w:hAnsi="Arial" w:cs="Arial"/>
          <w:b/>
          <w:bCs/>
          <w:color w:val="000000" w:themeColor="text1"/>
          <w:sz w:val="28"/>
          <w:szCs w:val="28"/>
          <w:lang w:val="fr-CA"/>
        </w:rPr>
      </w:pPr>
      <w:bookmarkStart w:id="36" w:name="(d)_Feedback_(IAS_Clause_11,_ACSS_Clause"/>
      <w:bookmarkStart w:id="37" w:name="_Toc229053524"/>
      <w:bookmarkEnd w:id="36"/>
      <w:r w:rsidRPr="00154DF1">
        <w:rPr>
          <w:rFonts w:ascii="Arial" w:hAnsi="Arial" w:cs="Arial"/>
          <w:b/>
          <w:bCs/>
          <w:color w:val="000000" w:themeColor="text1"/>
          <w:sz w:val="28"/>
          <w:szCs w:val="28"/>
          <w:lang w:val="fr-CA"/>
        </w:rPr>
        <w:t>Processus de rétroaction (article 11 des NAI, article 7 des NASC)</w:t>
      </w:r>
      <w:bookmarkEnd w:id="37"/>
    </w:p>
    <w:p w14:paraId="18A8E0F8" w14:textId="77777777" w:rsidR="00023F99" w:rsidRPr="006E0392" w:rsidRDefault="00523346" w:rsidP="00193AE8">
      <w:pPr>
        <w:pStyle w:val="BodyText"/>
        <w:spacing w:before="200"/>
        <w:ind w:left="362" w:right="1512"/>
        <w:rPr>
          <w:lang w:val="fr-FR"/>
        </w:rPr>
      </w:pPr>
      <w:r>
        <w:rPr>
          <w:lang w:val="fr-CA"/>
        </w:rPr>
        <w:t>Afin d’offrir le meilleur service possible aux clients, Metrolinx s’engage à consulter et à solliciter les commentaires du public sur ses services, y compris toute question d’accessibilité.</w:t>
      </w:r>
    </w:p>
    <w:p w14:paraId="21CB4703" w14:textId="77777777" w:rsidR="00023F99" w:rsidRPr="006E0392" w:rsidRDefault="00523346">
      <w:pPr>
        <w:pStyle w:val="BodyText"/>
        <w:ind w:left="362" w:right="1397"/>
        <w:rPr>
          <w:lang w:val="fr-FR"/>
        </w:rPr>
      </w:pPr>
      <w:r>
        <w:rPr>
          <w:lang w:val="fr-CA"/>
        </w:rPr>
        <w:t>Les commentaires du public ou des fournisseurs de biens et de services peuvent être recueillis par téléphone, en personne, par écrit ou sous format électronique. Des formats accessibles et des supports de communication pour faciliter une rétroaction efficace sont disponibles sur demande.</w:t>
      </w:r>
    </w:p>
    <w:p w14:paraId="0E700B6B" w14:textId="77777777" w:rsidR="00023F99" w:rsidRPr="006E0392" w:rsidRDefault="00523346">
      <w:pPr>
        <w:pStyle w:val="BodyText"/>
        <w:spacing w:before="278"/>
        <w:ind w:left="362" w:right="1512"/>
        <w:rPr>
          <w:lang w:val="fr-FR"/>
        </w:rPr>
      </w:pPr>
      <w:r>
        <w:rPr>
          <w:lang w:val="fr-CA"/>
        </w:rPr>
        <w:lastRenderedPageBreak/>
        <w:t>L’information sur les processus de rétroaction est facilement accessible au public et un avis de ces processus est affiché sur notre site Web ou à d’autres endroits, selon le cas.</w:t>
      </w:r>
    </w:p>
    <w:p w14:paraId="7E24F8FF" w14:textId="77777777" w:rsidR="00023F99" w:rsidRPr="006E0392" w:rsidRDefault="00523346">
      <w:pPr>
        <w:pStyle w:val="BodyText"/>
        <w:spacing w:before="76"/>
        <w:ind w:right="1512"/>
        <w:rPr>
          <w:lang w:val="fr-FR"/>
        </w:rPr>
      </w:pPr>
      <w:r>
        <w:rPr>
          <w:lang w:val="fr-CA"/>
        </w:rPr>
        <w:t>Tous les commentaires sont pris au sérieux et chaque communication avec les clients est dirigée vers les divisions ou les services responsables des opérations pour examen et mesures nécessaires.</w:t>
      </w:r>
    </w:p>
    <w:p w14:paraId="6B715189" w14:textId="77777777" w:rsidR="00023F99" w:rsidRPr="00154DF1" w:rsidRDefault="00523346" w:rsidP="00154DF1">
      <w:pPr>
        <w:pStyle w:val="Heading3"/>
        <w:numPr>
          <w:ilvl w:val="1"/>
          <w:numId w:val="7"/>
        </w:numPr>
        <w:spacing w:before="240"/>
        <w:rPr>
          <w:rFonts w:ascii="Arial" w:hAnsi="Arial" w:cs="Arial"/>
          <w:b/>
          <w:bCs/>
          <w:color w:val="000000" w:themeColor="text1"/>
          <w:sz w:val="28"/>
          <w:szCs w:val="28"/>
          <w:lang w:val="fr-CA"/>
        </w:rPr>
      </w:pPr>
      <w:bookmarkStart w:id="38" w:name="(e)_Accessible_Websites_and_Web_Content_"/>
      <w:bookmarkStart w:id="39" w:name="_Toc229053525"/>
      <w:bookmarkEnd w:id="38"/>
      <w:r w:rsidRPr="00154DF1">
        <w:rPr>
          <w:rFonts w:ascii="Arial" w:hAnsi="Arial" w:cs="Arial"/>
          <w:b/>
          <w:bCs/>
          <w:color w:val="000000" w:themeColor="text1"/>
          <w:sz w:val="28"/>
          <w:szCs w:val="28"/>
          <w:lang w:val="fr-CA"/>
        </w:rPr>
        <w:t>Sites et contenus Web accessibles (article 14 des NAI)</w:t>
      </w:r>
      <w:bookmarkEnd w:id="39"/>
    </w:p>
    <w:p w14:paraId="7551DB32" w14:textId="77777777" w:rsidR="00023F99" w:rsidRPr="006E0392" w:rsidRDefault="00523346">
      <w:pPr>
        <w:pStyle w:val="BodyText"/>
        <w:spacing w:before="278"/>
        <w:ind w:left="446" w:right="1397"/>
        <w:rPr>
          <w:lang w:val="fr-FR"/>
        </w:rPr>
      </w:pPr>
      <w:r>
        <w:rPr>
          <w:lang w:val="fr-CA"/>
        </w:rPr>
        <w:t>Metrolinx travaille actuellement à s’assurer que tout nouveau contenu sur ses sites Web Internet et intranet, y compris le contenu Web, sera conforme aux Règles pour l’accessibilité des contenus Web (WCAG) 2,0 du World Wide Web Consortium, au niveau AA d’ici 2014. Pour les pages Web actuelles, Metrolinx travaille à atteindre ce niveau de conformité en 2014, bien avant la date de conformité de 2021.</w:t>
      </w:r>
    </w:p>
    <w:p w14:paraId="6052F2B1" w14:textId="77777777" w:rsidR="00023F99" w:rsidRPr="00154DF1" w:rsidRDefault="00523346" w:rsidP="004415EE">
      <w:pPr>
        <w:pStyle w:val="Heading3"/>
        <w:numPr>
          <w:ilvl w:val="1"/>
          <w:numId w:val="7"/>
        </w:numPr>
        <w:spacing w:before="240"/>
        <w:ind w:left="720" w:right="900" w:hanging="361"/>
        <w:rPr>
          <w:rFonts w:ascii="Arial" w:hAnsi="Arial" w:cs="Arial"/>
          <w:b/>
          <w:bCs/>
          <w:color w:val="000000" w:themeColor="text1"/>
          <w:sz w:val="28"/>
          <w:szCs w:val="28"/>
          <w:lang w:val="fr-CA"/>
        </w:rPr>
      </w:pPr>
      <w:bookmarkStart w:id="40" w:name="_Toc229053526"/>
      <w:r w:rsidRPr="00154DF1">
        <w:rPr>
          <w:rFonts w:ascii="Arial" w:hAnsi="Arial" w:cs="Arial"/>
          <w:b/>
          <w:bCs/>
          <w:color w:val="000000" w:themeColor="text1"/>
          <w:sz w:val="28"/>
          <w:szCs w:val="28"/>
          <w:lang w:val="fr-CA"/>
        </w:rPr>
        <w:t>Obtention ou acquisition de biens, de services ou d’installations (article 5 des NAI)</w:t>
      </w:r>
      <w:bookmarkEnd w:id="40"/>
    </w:p>
    <w:p w14:paraId="69354EEF" w14:textId="77777777" w:rsidR="00023F99" w:rsidRPr="006E0392" w:rsidRDefault="00523346">
      <w:pPr>
        <w:pStyle w:val="BodyText"/>
        <w:spacing w:before="278"/>
        <w:ind w:left="359" w:right="1397"/>
        <w:rPr>
          <w:lang w:val="fr-FR"/>
        </w:rPr>
      </w:pPr>
      <w:r>
        <w:rPr>
          <w:lang w:val="fr-CA"/>
        </w:rPr>
        <w:t>Metrolinx s’assure que les critères et les options d’accessibilité sont intégrés lorsqu’elle achète ou acquiert des biens, des services ou des installations, sauf lorsque cela n’est pas possible. Lorsqu’il n’est pas possible d’intégrer les critères et les options d’accessibilité, Metrolinx fournira une explication sur demande.</w:t>
      </w:r>
    </w:p>
    <w:p w14:paraId="3D221079" w14:textId="77777777" w:rsidR="00023F99" w:rsidRPr="00154DF1" w:rsidRDefault="00523346" w:rsidP="00215EF2">
      <w:pPr>
        <w:pStyle w:val="Heading3"/>
        <w:numPr>
          <w:ilvl w:val="1"/>
          <w:numId w:val="7"/>
        </w:numPr>
        <w:spacing w:before="360"/>
        <w:rPr>
          <w:rFonts w:ascii="Arial" w:hAnsi="Arial" w:cs="Arial"/>
          <w:b/>
          <w:bCs/>
          <w:color w:val="000000" w:themeColor="text1"/>
          <w:sz w:val="28"/>
          <w:szCs w:val="28"/>
          <w:lang w:val="fr-CA"/>
        </w:rPr>
      </w:pPr>
      <w:bookmarkStart w:id="41" w:name="(g)_Employment"/>
      <w:bookmarkStart w:id="42" w:name="_Toc229053527"/>
      <w:bookmarkEnd w:id="41"/>
      <w:r w:rsidRPr="00154DF1">
        <w:rPr>
          <w:rFonts w:ascii="Arial" w:hAnsi="Arial" w:cs="Arial"/>
          <w:b/>
          <w:bCs/>
          <w:color w:val="000000" w:themeColor="text1"/>
          <w:sz w:val="28"/>
          <w:szCs w:val="28"/>
          <w:lang w:val="fr-CA"/>
        </w:rPr>
        <w:t>Emploi</w:t>
      </w:r>
      <w:bookmarkEnd w:id="42"/>
    </w:p>
    <w:p w14:paraId="5EDED024" w14:textId="77777777" w:rsidR="00023F99" w:rsidRPr="006E0392" w:rsidRDefault="00523346">
      <w:pPr>
        <w:pStyle w:val="BodyText"/>
        <w:spacing w:before="283"/>
        <w:ind w:left="359" w:right="1156"/>
        <w:rPr>
          <w:lang w:val="fr-FR"/>
        </w:rPr>
      </w:pPr>
      <w:r>
        <w:rPr>
          <w:lang w:val="fr-CA"/>
        </w:rPr>
        <w:t>Metrolinx maintient un environnement de travail inclusif et accessible qui illustre un traitement équitable et des chances égales pour les personnes handicapées dans tous les aspects de l’emploi, et assure le respect de tous les articles réglementaires pertinents à l’emploi.</w:t>
      </w:r>
    </w:p>
    <w:p w14:paraId="24E3DB48" w14:textId="7994F62A" w:rsidR="00193AE8" w:rsidRDefault="0080402F" w:rsidP="006901A4">
      <w:pPr>
        <w:pStyle w:val="Heading4"/>
        <w:spacing w:before="240"/>
        <w:ind w:left="720" w:right="2610" w:hanging="361"/>
        <w:rPr>
          <w:rFonts w:ascii="Arial" w:hAnsi="Arial" w:cs="Arial"/>
          <w:i w:val="0"/>
          <w:iCs w:val="0"/>
          <w:color w:val="000000" w:themeColor="text1"/>
          <w:sz w:val="28"/>
          <w:szCs w:val="28"/>
          <w:lang w:val="fr-CA"/>
        </w:rPr>
      </w:pPr>
      <w:bookmarkStart w:id="43" w:name="(i)_Recruitment,_Assessment,_Selection_a"/>
      <w:bookmarkStart w:id="44" w:name="Accommodation_(IAS_Clauses_22,_23,_24,_2"/>
      <w:bookmarkStart w:id="45" w:name="_Toc229053528"/>
      <w:bookmarkEnd w:id="43"/>
      <w:bookmarkEnd w:id="44"/>
      <w:r>
        <w:rPr>
          <w:rFonts w:ascii="Arial" w:hAnsi="Arial" w:cs="Arial"/>
          <w:i w:val="0"/>
          <w:iCs w:val="0"/>
          <w:color w:val="000000" w:themeColor="text1"/>
          <w:sz w:val="28"/>
          <w:szCs w:val="28"/>
          <w:lang w:val="fr-CA"/>
        </w:rPr>
        <w:t xml:space="preserve">(i) </w:t>
      </w:r>
      <w:r w:rsidR="00523346" w:rsidRPr="00461829">
        <w:rPr>
          <w:rFonts w:ascii="Arial" w:hAnsi="Arial" w:cs="Arial"/>
          <w:i w:val="0"/>
          <w:iCs w:val="0"/>
          <w:color w:val="000000" w:themeColor="text1"/>
          <w:sz w:val="28"/>
          <w:szCs w:val="28"/>
          <w:lang w:val="fr-CA"/>
        </w:rPr>
        <w:t>Recrutement, processus d’évaluation ou de sélection et mesures d’adaptation (articles 22, 23, 24, 25 des NAI)</w:t>
      </w:r>
      <w:bookmarkEnd w:id="45"/>
      <w:r w:rsidR="00193AE8">
        <w:rPr>
          <w:rFonts w:ascii="Arial" w:hAnsi="Arial" w:cs="Arial"/>
          <w:i w:val="0"/>
          <w:iCs w:val="0"/>
          <w:color w:val="000000" w:themeColor="text1"/>
          <w:sz w:val="28"/>
          <w:szCs w:val="28"/>
          <w:lang w:val="fr-CA"/>
        </w:rPr>
        <w:br w:type="page"/>
      </w:r>
    </w:p>
    <w:p w14:paraId="546029B4" w14:textId="5575F457" w:rsidR="00023F99" w:rsidRPr="006E0392" w:rsidRDefault="00523346">
      <w:pPr>
        <w:pStyle w:val="BodyText"/>
        <w:tabs>
          <w:tab w:val="left" w:pos="3350"/>
        </w:tabs>
        <w:spacing w:before="278"/>
        <w:ind w:right="1187"/>
        <w:rPr>
          <w:lang w:val="fr-FR"/>
        </w:rPr>
      </w:pPr>
      <w:r>
        <w:rPr>
          <w:lang w:val="fr-CA"/>
        </w:rPr>
        <w:lastRenderedPageBreak/>
        <w:t>Metrolinx veillera à ce que, pour tous les candidats à l’emploi, les candidats retenus et les employés, des mesures d’adaptation soient disponibles sur demande lors des entrevues, des processus d’embauche et tout au long de la période d’emploi. Les mesures d’adaptation seront mises en œuvre en consultation avec la personne et</w:t>
      </w:r>
      <w:r w:rsidR="00226C81">
        <w:rPr>
          <w:lang w:val="fr-CA"/>
        </w:rPr>
        <w:t xml:space="preserve"> </w:t>
      </w:r>
      <w:r>
        <w:rPr>
          <w:lang w:val="fr-CA"/>
        </w:rPr>
        <w:t>en fonction de leurs besoins en raison du handicap.</w:t>
      </w:r>
    </w:p>
    <w:p w14:paraId="082CC259" w14:textId="77777777" w:rsidR="00023F99" w:rsidRPr="006E0392" w:rsidRDefault="00523346">
      <w:pPr>
        <w:pStyle w:val="BodyText"/>
        <w:spacing w:before="5" w:line="237" w:lineRule="auto"/>
        <w:ind w:right="1098"/>
        <w:rPr>
          <w:lang w:val="fr-FR"/>
        </w:rPr>
      </w:pPr>
      <w:r>
        <w:rPr>
          <w:lang w:val="fr-CA"/>
        </w:rPr>
        <w:t>Metrolinx veillera à ce que ses employés soient informés de ses politiques (et de toute mise à jour des politiques) utilisées pour soutenir les employés handicapés.</w:t>
      </w:r>
    </w:p>
    <w:p w14:paraId="071B9971" w14:textId="2D6FBD1B" w:rsidR="00023F99" w:rsidRPr="00461829" w:rsidRDefault="00801AEF" w:rsidP="004E0D75">
      <w:pPr>
        <w:pStyle w:val="Heading4"/>
        <w:ind w:left="720" w:hanging="361"/>
        <w:rPr>
          <w:rFonts w:ascii="Arial" w:hAnsi="Arial" w:cs="Arial"/>
          <w:i w:val="0"/>
          <w:iCs w:val="0"/>
          <w:color w:val="000000" w:themeColor="text1"/>
          <w:sz w:val="28"/>
          <w:szCs w:val="28"/>
          <w:lang w:val="fr-CA"/>
        </w:rPr>
      </w:pPr>
      <w:bookmarkStart w:id="46" w:name="(ii)_Workplace_Emergency_Response_Inform"/>
      <w:bookmarkStart w:id="47" w:name="_Toc229053529"/>
      <w:bookmarkEnd w:id="46"/>
      <w:r>
        <w:rPr>
          <w:rFonts w:ascii="Arial" w:hAnsi="Arial" w:cs="Arial"/>
          <w:i w:val="0"/>
          <w:iCs w:val="0"/>
          <w:color w:val="000000" w:themeColor="text1"/>
          <w:sz w:val="28"/>
          <w:szCs w:val="28"/>
          <w:lang w:val="fr-CA"/>
        </w:rPr>
        <w:t xml:space="preserve">(ii) </w:t>
      </w:r>
      <w:r w:rsidR="00523346" w:rsidRPr="00461829">
        <w:rPr>
          <w:rFonts w:ascii="Arial" w:hAnsi="Arial" w:cs="Arial"/>
          <w:i w:val="0"/>
          <w:iCs w:val="0"/>
          <w:color w:val="000000" w:themeColor="text1"/>
          <w:sz w:val="28"/>
          <w:szCs w:val="28"/>
          <w:lang w:val="fr-CA"/>
        </w:rPr>
        <w:t>Renseignements relatifs aux interventions d’urgence sur le lieu de travail (article 27 des NAI)</w:t>
      </w:r>
      <w:bookmarkEnd w:id="47"/>
    </w:p>
    <w:p w14:paraId="48DA3820" w14:textId="77777777" w:rsidR="00023F99" w:rsidRPr="006E0392" w:rsidRDefault="00523346">
      <w:pPr>
        <w:pStyle w:val="BodyText"/>
        <w:spacing w:before="283"/>
        <w:ind w:left="359" w:right="1156"/>
        <w:rPr>
          <w:lang w:val="fr-FR"/>
        </w:rPr>
      </w:pPr>
      <w:r>
        <w:rPr>
          <w:lang w:val="fr-CA"/>
        </w:rPr>
        <w:t>Metrolinx veillera à ce qu’il existe un processus pour préparer des renseignements individualisés et documentés relatifs aux interventions d’urgence sur le lieu de travail, ainsi que des processus personnalisés pour les employés handicapés. Metrolinx fournira ces renseignements dès que possible après avoir pris connaissance du besoin d’adaptation. Avec le consentement des employés, les renseignements sont donnés à la personne ou aux personnes désignées par Metrolinx pour fournir une aide à l’employé.</w:t>
      </w:r>
    </w:p>
    <w:p w14:paraId="76A806AD" w14:textId="77777777" w:rsidR="00023F99" w:rsidRPr="006E0392" w:rsidRDefault="00523346">
      <w:pPr>
        <w:pStyle w:val="BodyText"/>
        <w:spacing w:before="280"/>
        <w:ind w:left="359" w:right="1512"/>
        <w:rPr>
          <w:lang w:val="fr-FR"/>
        </w:rPr>
      </w:pPr>
      <w:r>
        <w:rPr>
          <w:lang w:val="fr-CA"/>
        </w:rPr>
        <w:t>Metrolinx examinera les renseignements personnalisés relatifs aux interventions d’urgence sur le lieu de travail lorsque l’employé déménage à un endroit différent de l’organisation, lorsque les besoins ou les plans d’adaptation globaux de l’employé sont révisés, et lorsque Metrolinx révise ses politiques générales d’intervention d’urgence.</w:t>
      </w:r>
    </w:p>
    <w:p w14:paraId="27151FFF" w14:textId="3842E232" w:rsidR="00023F99" w:rsidRPr="00461829" w:rsidRDefault="00814A22" w:rsidP="004E14E4">
      <w:pPr>
        <w:pStyle w:val="Heading4"/>
        <w:spacing w:before="360"/>
        <w:ind w:firstLine="359"/>
        <w:rPr>
          <w:rFonts w:ascii="Arial" w:hAnsi="Arial" w:cs="Arial"/>
          <w:i w:val="0"/>
          <w:iCs w:val="0"/>
          <w:color w:val="000000" w:themeColor="text1"/>
          <w:sz w:val="28"/>
          <w:szCs w:val="28"/>
          <w:lang w:val="fr-CA"/>
        </w:rPr>
      </w:pPr>
      <w:bookmarkStart w:id="48" w:name="(iii)_Documented_Individual_Accommodatio"/>
      <w:bookmarkStart w:id="49" w:name="_Toc229053530"/>
      <w:bookmarkEnd w:id="48"/>
      <w:r>
        <w:rPr>
          <w:rFonts w:ascii="Arial" w:hAnsi="Arial" w:cs="Arial"/>
          <w:i w:val="0"/>
          <w:iCs w:val="0"/>
          <w:color w:val="000000" w:themeColor="text1"/>
          <w:sz w:val="28"/>
          <w:szCs w:val="28"/>
          <w:lang w:val="fr-CA"/>
        </w:rPr>
        <w:t>(i</w:t>
      </w:r>
      <w:r w:rsidR="002D0043">
        <w:rPr>
          <w:rFonts w:ascii="Arial" w:hAnsi="Arial" w:cs="Arial"/>
          <w:i w:val="0"/>
          <w:iCs w:val="0"/>
          <w:color w:val="000000" w:themeColor="text1"/>
          <w:sz w:val="28"/>
          <w:szCs w:val="28"/>
          <w:lang w:val="fr-CA"/>
        </w:rPr>
        <w:t>i</w:t>
      </w:r>
      <w:r>
        <w:rPr>
          <w:rFonts w:ascii="Arial" w:hAnsi="Arial" w:cs="Arial"/>
          <w:i w:val="0"/>
          <w:iCs w:val="0"/>
          <w:color w:val="000000" w:themeColor="text1"/>
          <w:sz w:val="28"/>
          <w:szCs w:val="28"/>
          <w:lang w:val="fr-CA"/>
        </w:rPr>
        <w:t xml:space="preserve">i) </w:t>
      </w:r>
      <w:r w:rsidR="00523346" w:rsidRPr="00461829">
        <w:rPr>
          <w:rFonts w:ascii="Arial" w:hAnsi="Arial" w:cs="Arial"/>
          <w:i w:val="0"/>
          <w:iCs w:val="0"/>
          <w:color w:val="000000" w:themeColor="text1"/>
          <w:sz w:val="28"/>
          <w:szCs w:val="28"/>
          <w:lang w:val="fr-CA"/>
        </w:rPr>
        <w:t>Plans d’adaptation individualisés et documentés (article 28 des NAI)</w:t>
      </w:r>
      <w:bookmarkEnd w:id="49"/>
    </w:p>
    <w:p w14:paraId="70794AEE" w14:textId="77777777" w:rsidR="00023F99" w:rsidRPr="006E0392" w:rsidRDefault="00523346">
      <w:pPr>
        <w:pStyle w:val="BodyText"/>
        <w:spacing w:before="283"/>
        <w:ind w:right="1397"/>
        <w:rPr>
          <w:lang w:val="fr-FR"/>
        </w:rPr>
      </w:pPr>
      <w:bookmarkStart w:id="50" w:name="Metrolinx_will_ensure_that_there_is_a_wr"/>
      <w:bookmarkEnd w:id="50"/>
      <w:r>
        <w:rPr>
          <w:lang w:val="fr-CA"/>
        </w:rPr>
        <w:t>Metrolinx veillera à ce qu’il existe un processus écrit pour la préparation des plans d’adaptation individuels documentés pour les employés handicapés.</w:t>
      </w:r>
    </w:p>
    <w:p w14:paraId="783C8FBB" w14:textId="77777777" w:rsidR="00023F99" w:rsidRPr="006E0392" w:rsidRDefault="00523346">
      <w:pPr>
        <w:pStyle w:val="BodyText"/>
        <w:spacing w:before="280"/>
        <w:ind w:right="1098"/>
        <w:rPr>
          <w:lang w:val="fr-FR"/>
        </w:rPr>
      </w:pPr>
      <w:r>
        <w:rPr>
          <w:lang w:val="fr-CA"/>
        </w:rPr>
        <w:t>Les plans peuvent inclure des formats accessibles spécifiques à l’employé et des soutiens en matière de communication, des renseignements individualisés sur les interventions en cas d’urgence en milieu de travail et toute autre mesure d’adaptation devant être fournie.</w:t>
      </w:r>
    </w:p>
    <w:p w14:paraId="46630221" w14:textId="446F950B" w:rsidR="00023F99" w:rsidRPr="00BE530E" w:rsidRDefault="00FD2865" w:rsidP="00201497">
      <w:pPr>
        <w:pStyle w:val="Heading4"/>
        <w:spacing w:before="240"/>
        <w:ind w:firstLine="359"/>
        <w:rPr>
          <w:rFonts w:ascii="Arial" w:hAnsi="Arial" w:cs="Arial"/>
          <w:i w:val="0"/>
          <w:iCs w:val="0"/>
          <w:color w:val="000000" w:themeColor="text1"/>
          <w:sz w:val="28"/>
          <w:szCs w:val="28"/>
          <w:lang w:val="fr-CA"/>
        </w:rPr>
      </w:pPr>
      <w:bookmarkStart w:id="51" w:name="_Toc229053531"/>
      <w:r w:rsidRPr="00BE530E">
        <w:rPr>
          <w:rFonts w:ascii="Arial" w:hAnsi="Arial" w:cs="Arial"/>
          <w:i w:val="0"/>
          <w:iCs w:val="0"/>
          <w:color w:val="000000" w:themeColor="text1"/>
          <w:sz w:val="28"/>
          <w:szCs w:val="28"/>
          <w:lang w:val="fr-CA"/>
        </w:rPr>
        <w:lastRenderedPageBreak/>
        <w:t>(iv)</w:t>
      </w:r>
      <w:r w:rsidR="00CF4051" w:rsidRPr="00BE530E">
        <w:rPr>
          <w:rFonts w:ascii="Arial" w:hAnsi="Arial" w:cs="Arial"/>
          <w:i w:val="0"/>
          <w:iCs w:val="0"/>
          <w:color w:val="000000" w:themeColor="text1"/>
          <w:sz w:val="28"/>
          <w:szCs w:val="28"/>
          <w:lang w:val="fr-CA"/>
        </w:rPr>
        <w:t xml:space="preserve"> </w:t>
      </w:r>
      <w:r w:rsidR="00523346" w:rsidRPr="00BE530E">
        <w:rPr>
          <w:rFonts w:ascii="Arial" w:hAnsi="Arial" w:cs="Arial"/>
          <w:i w:val="0"/>
          <w:iCs w:val="0"/>
          <w:color w:val="000000" w:themeColor="text1"/>
          <w:sz w:val="28"/>
          <w:szCs w:val="28"/>
          <w:lang w:val="fr-CA"/>
        </w:rPr>
        <w:t>Processus de retour au travail (article 29 des NAI)</w:t>
      </w:r>
      <w:bookmarkEnd w:id="51"/>
    </w:p>
    <w:p w14:paraId="5F5575F1" w14:textId="77777777" w:rsidR="00023F99" w:rsidRPr="006E0392" w:rsidRDefault="00523346" w:rsidP="00614345">
      <w:pPr>
        <w:pStyle w:val="BodyText"/>
        <w:spacing w:before="240"/>
        <w:ind w:left="359" w:right="1124"/>
        <w:rPr>
          <w:lang w:val="fr-FR"/>
        </w:rPr>
      </w:pPr>
      <w:r>
        <w:rPr>
          <w:lang w:val="fr-CA"/>
        </w:rPr>
        <w:t>Metrolinx veillera à ce qu’il existe un processus documenté de retour au travail pour ses employés qui ont été absents du travail en raison d’un handicap et qui nécessitent des mesures d’adaptation liées à un handicap afin de retourner au travail.</w:t>
      </w:r>
    </w:p>
    <w:p w14:paraId="6C9A831A" w14:textId="77777777" w:rsidR="00023F99" w:rsidRPr="006E0392" w:rsidRDefault="00523346" w:rsidP="00614345">
      <w:pPr>
        <w:pStyle w:val="BodyText"/>
        <w:spacing w:before="240"/>
        <w:ind w:left="359" w:right="1397"/>
        <w:rPr>
          <w:lang w:val="fr-FR"/>
        </w:rPr>
      </w:pPr>
      <w:r>
        <w:rPr>
          <w:lang w:val="fr-CA"/>
        </w:rPr>
        <w:t>Le processus de retour au travail décrira les mesures que Metrolinx prendra pour faciliter le retour au travail et inclura des plans d’adaptation individuels documentés.</w:t>
      </w:r>
    </w:p>
    <w:p w14:paraId="7EA47381" w14:textId="5922A8C5" w:rsidR="00023F99" w:rsidRPr="00F45FEF" w:rsidRDefault="008C58B7" w:rsidP="001C4109">
      <w:pPr>
        <w:pStyle w:val="Heading4"/>
        <w:spacing w:before="240"/>
        <w:ind w:left="810" w:right="2250" w:hanging="453"/>
        <w:rPr>
          <w:rFonts w:ascii="Arial" w:hAnsi="Arial" w:cs="Arial"/>
          <w:i w:val="0"/>
          <w:iCs w:val="0"/>
          <w:color w:val="000000" w:themeColor="text1"/>
          <w:sz w:val="28"/>
          <w:szCs w:val="28"/>
          <w:lang w:val="fr-CA"/>
        </w:rPr>
      </w:pPr>
      <w:bookmarkStart w:id="52" w:name="(v)_Performance_Management,_Career_Devel"/>
      <w:bookmarkStart w:id="53" w:name="_Toc229053532"/>
      <w:bookmarkEnd w:id="52"/>
      <w:r>
        <w:rPr>
          <w:rFonts w:ascii="Arial" w:hAnsi="Arial" w:cs="Arial"/>
          <w:i w:val="0"/>
          <w:iCs w:val="0"/>
          <w:color w:val="000000" w:themeColor="text1"/>
          <w:sz w:val="28"/>
          <w:szCs w:val="28"/>
          <w:lang w:val="fr-CA"/>
        </w:rPr>
        <w:t xml:space="preserve">(v) </w:t>
      </w:r>
      <w:r w:rsidR="00523346" w:rsidRPr="00F45FEF">
        <w:rPr>
          <w:rFonts w:ascii="Arial" w:hAnsi="Arial" w:cs="Arial"/>
          <w:i w:val="0"/>
          <w:iCs w:val="0"/>
          <w:color w:val="000000" w:themeColor="text1"/>
          <w:sz w:val="28"/>
          <w:szCs w:val="28"/>
          <w:lang w:val="fr-CA"/>
        </w:rPr>
        <w:t xml:space="preserve">Gestion du rendement, perfectionnement et </w:t>
      </w:r>
      <w:r w:rsidR="00250FC9">
        <w:rPr>
          <w:rFonts w:ascii="Arial" w:hAnsi="Arial" w:cs="Arial"/>
          <w:i w:val="0"/>
          <w:iCs w:val="0"/>
          <w:color w:val="000000" w:themeColor="text1"/>
          <w:sz w:val="28"/>
          <w:szCs w:val="28"/>
          <w:lang w:val="fr-CA"/>
        </w:rPr>
        <w:br/>
      </w:r>
      <w:r w:rsidR="00523346" w:rsidRPr="00F45FEF">
        <w:rPr>
          <w:rFonts w:ascii="Arial" w:hAnsi="Arial" w:cs="Arial"/>
          <w:i w:val="0"/>
          <w:iCs w:val="0"/>
          <w:color w:val="000000" w:themeColor="text1"/>
          <w:sz w:val="28"/>
          <w:szCs w:val="28"/>
          <w:lang w:val="fr-CA"/>
        </w:rPr>
        <w:t xml:space="preserve">avancement professionnels, </w:t>
      </w:r>
      <w:bookmarkStart w:id="54" w:name="Advancement_&amp;_Redeployment_(IAS_Clauses_"/>
      <w:bookmarkEnd w:id="54"/>
      <w:r w:rsidR="00523346" w:rsidRPr="00F45FEF">
        <w:rPr>
          <w:rFonts w:ascii="Arial" w:hAnsi="Arial" w:cs="Arial"/>
          <w:i w:val="0"/>
          <w:iCs w:val="0"/>
          <w:color w:val="000000" w:themeColor="text1"/>
          <w:sz w:val="28"/>
          <w:szCs w:val="28"/>
          <w:lang w:val="fr-CA"/>
        </w:rPr>
        <w:t>et réaffectation (articles 30, 31, 32 des NAI)</w:t>
      </w:r>
      <w:bookmarkEnd w:id="53"/>
    </w:p>
    <w:p w14:paraId="654F627E" w14:textId="77777777" w:rsidR="00023F99" w:rsidRPr="006E0392" w:rsidRDefault="00523346" w:rsidP="004D15CA">
      <w:pPr>
        <w:pStyle w:val="BodyText"/>
        <w:spacing w:before="120"/>
        <w:ind w:left="357" w:right="1077"/>
        <w:rPr>
          <w:lang w:val="fr-FR"/>
        </w:rPr>
      </w:pPr>
      <w:r>
        <w:rPr>
          <w:lang w:val="fr-CA"/>
        </w:rPr>
        <w:t>Metrolinx tiendra compte des besoins en matière d’accessibilité des employés handicapés, ainsi que des plans d’adaptation individuels, lors de la gestion du rendement, du perfectionnement professionnel, de l’avancement ou de la réaffectation des employés.</w:t>
      </w:r>
    </w:p>
    <w:p w14:paraId="31826BDE" w14:textId="77777777" w:rsidR="00023F99" w:rsidRPr="00154DF1" w:rsidRDefault="00523346" w:rsidP="00154DF1">
      <w:pPr>
        <w:pStyle w:val="Heading3"/>
        <w:numPr>
          <w:ilvl w:val="1"/>
          <w:numId w:val="7"/>
        </w:numPr>
        <w:spacing w:before="240"/>
        <w:rPr>
          <w:rFonts w:ascii="Arial" w:hAnsi="Arial" w:cs="Arial"/>
          <w:b/>
          <w:bCs/>
          <w:color w:val="000000" w:themeColor="text1"/>
          <w:sz w:val="28"/>
          <w:szCs w:val="28"/>
          <w:lang w:val="fr-CA"/>
        </w:rPr>
      </w:pPr>
      <w:bookmarkStart w:id="55" w:name="(h)_Transportation_Services"/>
      <w:bookmarkStart w:id="56" w:name="_Toc229053533"/>
      <w:bookmarkEnd w:id="55"/>
      <w:r w:rsidRPr="00154DF1">
        <w:rPr>
          <w:rFonts w:ascii="Arial" w:hAnsi="Arial" w:cs="Arial"/>
          <w:b/>
          <w:bCs/>
          <w:color w:val="000000" w:themeColor="text1"/>
          <w:sz w:val="28"/>
          <w:szCs w:val="28"/>
          <w:lang w:val="fr-CA"/>
        </w:rPr>
        <w:t>Services de transport</w:t>
      </w:r>
      <w:bookmarkEnd w:id="56"/>
    </w:p>
    <w:p w14:paraId="7370F34B" w14:textId="77777777" w:rsidR="00023F99" w:rsidRPr="006E0392" w:rsidRDefault="00523346">
      <w:pPr>
        <w:pStyle w:val="BodyText"/>
        <w:spacing w:before="283"/>
        <w:ind w:left="361" w:right="1124" w:hanging="1"/>
        <w:rPr>
          <w:lang w:val="fr-FR"/>
        </w:rPr>
      </w:pPr>
      <w:r>
        <w:rPr>
          <w:lang w:val="fr-CA"/>
        </w:rPr>
        <w:t>Metrolinx planifie, conçoit et exploite ses services de transport pour faciliter les déplacements des clients ayant un handicap. Les conceptions de tous les nouveaux véhicules et infrastructures intègrent les pratiques exemplaires, y compris les caractéristiques accessibles identifiées dans les règlements applicables et les codes.</w:t>
      </w:r>
    </w:p>
    <w:p w14:paraId="4F3287AB" w14:textId="79AE04E9" w:rsidR="00023F99" w:rsidRPr="00F45FEF" w:rsidRDefault="001936F2" w:rsidP="00614345">
      <w:pPr>
        <w:pStyle w:val="Heading4"/>
        <w:spacing w:before="240"/>
        <w:ind w:firstLine="360"/>
        <w:rPr>
          <w:rFonts w:ascii="Arial" w:hAnsi="Arial" w:cs="Arial"/>
          <w:i w:val="0"/>
          <w:iCs w:val="0"/>
          <w:color w:val="000000" w:themeColor="text1"/>
          <w:sz w:val="28"/>
          <w:szCs w:val="28"/>
          <w:lang w:val="fr-CA"/>
        </w:rPr>
      </w:pPr>
      <w:bookmarkStart w:id="57" w:name="(i)_Boarding_and_Travel_(IAS_Clause_44)"/>
      <w:bookmarkStart w:id="58" w:name="_Toc229053534"/>
      <w:bookmarkEnd w:id="57"/>
      <w:r>
        <w:rPr>
          <w:rFonts w:ascii="Arial" w:hAnsi="Arial" w:cs="Arial"/>
          <w:i w:val="0"/>
          <w:iCs w:val="0"/>
          <w:color w:val="000000" w:themeColor="text1"/>
          <w:sz w:val="28"/>
          <w:szCs w:val="28"/>
          <w:lang w:val="fr-CA"/>
        </w:rPr>
        <w:t xml:space="preserve">(i) </w:t>
      </w:r>
      <w:r w:rsidR="00523346" w:rsidRPr="00F45FEF">
        <w:rPr>
          <w:rFonts w:ascii="Arial" w:hAnsi="Arial" w:cs="Arial"/>
          <w:i w:val="0"/>
          <w:iCs w:val="0"/>
          <w:color w:val="000000" w:themeColor="text1"/>
          <w:sz w:val="28"/>
          <w:szCs w:val="28"/>
          <w:lang w:val="fr-CA"/>
        </w:rPr>
        <w:t>Embarquement et transport (article 44 des NAI)</w:t>
      </w:r>
      <w:bookmarkEnd w:id="58"/>
    </w:p>
    <w:p w14:paraId="608B9C09" w14:textId="77777777" w:rsidR="00023F99" w:rsidRPr="006E0392" w:rsidRDefault="00523346">
      <w:pPr>
        <w:pStyle w:val="BodyText"/>
        <w:spacing w:before="283"/>
        <w:ind w:left="361" w:right="1098"/>
        <w:rPr>
          <w:lang w:val="fr-FR"/>
        </w:rPr>
      </w:pPr>
      <w:r>
        <w:rPr>
          <w:lang w:val="fr-CA"/>
        </w:rPr>
        <w:t>Les dispositifs de levage, les rampes ou les plaques de pont portables, lorsque requis pour l’embarquement et le débarquement des véhicules, sont déployés sur demande. Un temps adéquat est prévu pour monter, être installé si nécessaire, et descendre des véhicules en toute sécurité. La sécurisation des dispositifs de mobilité sur roues dans les autobus GO est effectuée par le conducteur. Les clients handicapés qui nécessitent une aide supplémentaire devraient être accompagnés d’une personne de soutien.</w:t>
      </w:r>
    </w:p>
    <w:p w14:paraId="6DA3F593" w14:textId="77777777" w:rsidR="00A06609" w:rsidRDefault="00523346" w:rsidP="00A06609">
      <w:pPr>
        <w:pStyle w:val="BodyText"/>
        <w:spacing w:before="240"/>
        <w:ind w:left="361" w:right="1098"/>
        <w:rPr>
          <w:lang w:val="fr-CA"/>
        </w:rPr>
      </w:pPr>
      <w:r>
        <w:rPr>
          <w:lang w:val="fr-CA"/>
        </w:rPr>
        <w:t>Les clients ou les personnes de soutien qui les accompagnent sont responsables de la sécurisation facultative des dispositifs de mobilité sur roues dans les trains GO.</w:t>
      </w:r>
      <w:bookmarkStart w:id="59" w:name="(ii)_Service_Disruptions_(IAS_Clause_50_"/>
      <w:bookmarkEnd w:id="59"/>
    </w:p>
    <w:p w14:paraId="6B0EE536" w14:textId="77777777" w:rsidR="00614345" w:rsidRPr="00A06609" w:rsidRDefault="00614345" w:rsidP="001903D0">
      <w:pPr>
        <w:pStyle w:val="Heading4"/>
        <w:spacing w:before="360"/>
        <w:ind w:left="-90" w:firstLine="450"/>
        <w:rPr>
          <w:rFonts w:ascii="Arial" w:hAnsi="Arial" w:cs="Arial"/>
          <w:i w:val="0"/>
          <w:iCs w:val="0"/>
          <w:color w:val="000000" w:themeColor="text1"/>
          <w:sz w:val="28"/>
          <w:szCs w:val="28"/>
          <w:lang w:val="fr-CA"/>
        </w:rPr>
      </w:pPr>
      <w:bookmarkStart w:id="60" w:name="_Toc229053535"/>
      <w:r w:rsidRPr="00A06609">
        <w:rPr>
          <w:rFonts w:ascii="Arial" w:hAnsi="Arial" w:cs="Arial"/>
          <w:i w:val="0"/>
          <w:iCs w:val="0"/>
          <w:color w:val="000000" w:themeColor="text1"/>
          <w:sz w:val="28"/>
          <w:szCs w:val="28"/>
          <w:lang w:val="fr-CA"/>
        </w:rPr>
        <w:lastRenderedPageBreak/>
        <w:t>(ii) Perturbations du service (article 50 des NAI, article 5 des NASC)</w:t>
      </w:r>
      <w:bookmarkEnd w:id="60"/>
    </w:p>
    <w:p w14:paraId="4F5982DB" w14:textId="040F1C95" w:rsidR="00023F99" w:rsidRPr="006E0392" w:rsidRDefault="00523346" w:rsidP="00193AE8">
      <w:pPr>
        <w:pStyle w:val="BodyText"/>
        <w:spacing w:before="240"/>
        <w:ind w:left="361" w:right="1098"/>
        <w:rPr>
          <w:lang w:val="fr-FR"/>
        </w:rPr>
      </w:pPr>
      <w:r>
        <w:rPr>
          <w:lang w:val="fr-CA"/>
        </w:rPr>
        <w:t>Lorsqu’un trajet ou un service habituel prévu est temporairement modifié et que le changement est connu avant le début du trajet, Metrolinx prend des dispositions pour s’assurer que les clients handicapés atteignent la destination de leur trajet. Ces arrangements sont communiqués d’une manière qui tient le client informé et prend en compte le handicap de la personne.</w:t>
      </w:r>
    </w:p>
    <w:p w14:paraId="37FDF32F" w14:textId="6E256A96" w:rsidR="00023F99" w:rsidRPr="00F45FEF" w:rsidRDefault="002B69A8" w:rsidP="00FF020D">
      <w:pPr>
        <w:pStyle w:val="Heading4"/>
        <w:spacing w:before="240"/>
        <w:ind w:firstLine="361"/>
        <w:rPr>
          <w:rFonts w:ascii="Arial" w:hAnsi="Arial" w:cs="Arial"/>
          <w:i w:val="0"/>
          <w:iCs w:val="0"/>
          <w:color w:val="000000" w:themeColor="text1"/>
          <w:sz w:val="28"/>
          <w:szCs w:val="28"/>
          <w:lang w:val="fr-CA"/>
        </w:rPr>
      </w:pPr>
      <w:bookmarkStart w:id="61" w:name="(iii)_Non-Functioning_Accessibility_Equi"/>
      <w:bookmarkStart w:id="62" w:name="_Toc229053536"/>
      <w:bookmarkEnd w:id="61"/>
      <w:r>
        <w:rPr>
          <w:rFonts w:ascii="Arial" w:hAnsi="Arial" w:cs="Arial"/>
          <w:i w:val="0"/>
          <w:iCs w:val="0"/>
          <w:color w:val="000000" w:themeColor="text1"/>
          <w:sz w:val="28"/>
          <w:szCs w:val="28"/>
          <w:lang w:val="fr-CA"/>
        </w:rPr>
        <w:t xml:space="preserve">(iii) </w:t>
      </w:r>
      <w:r w:rsidR="00523346" w:rsidRPr="00F45FEF">
        <w:rPr>
          <w:rFonts w:ascii="Arial" w:hAnsi="Arial" w:cs="Arial"/>
          <w:i w:val="0"/>
          <w:iCs w:val="0"/>
          <w:color w:val="000000" w:themeColor="text1"/>
          <w:sz w:val="28"/>
          <w:szCs w:val="28"/>
          <w:lang w:val="fr-CA"/>
        </w:rPr>
        <w:t>Équipement d’accessibilité non fonctionnel</w:t>
      </w:r>
      <w:bookmarkEnd w:id="62"/>
    </w:p>
    <w:p w14:paraId="03460BE8" w14:textId="6F50ADF2" w:rsidR="00023F99" w:rsidRPr="006E0392" w:rsidRDefault="00523346" w:rsidP="00226C81">
      <w:pPr>
        <w:pStyle w:val="BodyText"/>
        <w:spacing w:before="283"/>
        <w:ind w:left="362" w:right="1096"/>
        <w:rPr>
          <w:lang w:val="fr-FR"/>
        </w:rPr>
      </w:pPr>
      <w:r>
        <w:rPr>
          <w:lang w:val="fr-CA"/>
        </w:rPr>
        <w:t>Lorsque l’équipement d’accessibilité ou les fonctionnalités d’accessibilité qui soutiennent un véhicule ou un service ne fonctionnent pas, ces informations sont communiquées aussi rapidement que possible au public en utilisant Internet, les courriels d’abonnement et les communications sur site et à bord, si cela est approprié. Si un service de remplacement ne peut être fourni, Metrolinx prend des</w:t>
      </w:r>
      <w:r w:rsidR="00226C81" w:rsidRPr="006E0392">
        <w:rPr>
          <w:lang w:val="fr-FR"/>
        </w:rPr>
        <w:t xml:space="preserve"> </w:t>
      </w:r>
      <w:r>
        <w:rPr>
          <w:lang w:val="fr-CA"/>
        </w:rPr>
        <w:t>mesures raisonnables pour accommoder les clients qui utiliseraient autrement ces véhicules ou services.</w:t>
      </w:r>
    </w:p>
    <w:p w14:paraId="31436CDE" w14:textId="77777777" w:rsidR="00023F99" w:rsidRPr="006E0392" w:rsidRDefault="00523346">
      <w:pPr>
        <w:pStyle w:val="BodyText"/>
        <w:spacing w:before="284"/>
        <w:ind w:right="1098"/>
        <w:rPr>
          <w:lang w:val="fr-FR"/>
        </w:rPr>
      </w:pPr>
      <w:r>
        <w:rPr>
          <w:lang w:val="fr-CA"/>
        </w:rPr>
        <w:t>Des processus sont en place pour suivre le rendement de tout l’équipement et s’assurer qu’il répond aux besoins des clients. Les véhicules qui ne fonctionnent pas et les services sont réparés dès que possible conformément aux indicateurs de rendement clé pour la réparation.</w:t>
      </w:r>
    </w:p>
    <w:p w14:paraId="02B4533A" w14:textId="724D3466" w:rsidR="00023F99" w:rsidRPr="00F45FEF" w:rsidRDefault="00681386" w:rsidP="00CB02C6">
      <w:pPr>
        <w:pStyle w:val="Heading4"/>
        <w:spacing w:before="240"/>
        <w:ind w:firstLine="360"/>
        <w:rPr>
          <w:rFonts w:ascii="Arial" w:hAnsi="Arial" w:cs="Arial"/>
          <w:i w:val="0"/>
          <w:iCs w:val="0"/>
          <w:color w:val="000000" w:themeColor="text1"/>
          <w:sz w:val="28"/>
          <w:szCs w:val="28"/>
          <w:lang w:val="fr-CA"/>
        </w:rPr>
      </w:pPr>
      <w:bookmarkStart w:id="63" w:name="(iv)_Alternative_Accessible_Methods_of_T"/>
      <w:bookmarkStart w:id="64" w:name="_Toc229053537"/>
      <w:bookmarkEnd w:id="63"/>
      <w:r>
        <w:rPr>
          <w:rFonts w:ascii="Arial" w:hAnsi="Arial" w:cs="Arial"/>
          <w:i w:val="0"/>
          <w:iCs w:val="0"/>
          <w:color w:val="000000" w:themeColor="text1"/>
          <w:sz w:val="28"/>
          <w:szCs w:val="28"/>
          <w:lang w:val="fr-CA"/>
        </w:rPr>
        <w:t xml:space="preserve">(iv) </w:t>
      </w:r>
      <w:r w:rsidR="00523346" w:rsidRPr="00F45FEF">
        <w:rPr>
          <w:rFonts w:ascii="Arial" w:hAnsi="Arial" w:cs="Arial"/>
          <w:i w:val="0"/>
          <w:iCs w:val="0"/>
          <w:color w:val="000000" w:themeColor="text1"/>
          <w:sz w:val="28"/>
          <w:szCs w:val="28"/>
          <w:lang w:val="fr-CA"/>
        </w:rPr>
        <w:t>Moyen de transport de remplacement accessible (article 45 des NAI)</w:t>
      </w:r>
      <w:bookmarkEnd w:id="64"/>
    </w:p>
    <w:p w14:paraId="5AE982A1" w14:textId="77777777" w:rsidR="00023F99" w:rsidRPr="006E0392" w:rsidRDefault="00523346">
      <w:pPr>
        <w:pStyle w:val="BodyText"/>
        <w:spacing w:before="282"/>
        <w:ind w:right="1098"/>
        <w:rPr>
          <w:lang w:val="fr-FR"/>
        </w:rPr>
      </w:pPr>
      <w:r>
        <w:rPr>
          <w:lang w:val="fr-CA"/>
        </w:rPr>
        <w:t>En cas de perturbation du service ou de défaillance de l’équipement, Metrolinx offre un autre moyen de transport aux personnes qui ne peuvent pas utiliser ses services de transport conventionnels en raison de leur handicap.</w:t>
      </w:r>
    </w:p>
    <w:p w14:paraId="4B453AEC" w14:textId="4D3CB210" w:rsidR="00023F99" w:rsidRPr="00F45FEF" w:rsidRDefault="004D3D03" w:rsidP="00720B94">
      <w:pPr>
        <w:pStyle w:val="Heading4"/>
        <w:spacing w:before="360"/>
        <w:ind w:firstLine="360"/>
        <w:rPr>
          <w:rFonts w:ascii="Arial" w:hAnsi="Arial" w:cs="Arial"/>
          <w:i w:val="0"/>
          <w:iCs w:val="0"/>
          <w:color w:val="000000" w:themeColor="text1"/>
          <w:sz w:val="28"/>
          <w:szCs w:val="28"/>
          <w:lang w:val="fr-CA"/>
        </w:rPr>
      </w:pPr>
      <w:bookmarkStart w:id="65" w:name="(v)_Transit_Stops_(Clause_47_IAS)"/>
      <w:bookmarkStart w:id="66" w:name="_Toc229053538"/>
      <w:bookmarkEnd w:id="65"/>
      <w:r>
        <w:rPr>
          <w:rFonts w:ascii="Arial" w:hAnsi="Arial" w:cs="Arial"/>
          <w:i w:val="0"/>
          <w:iCs w:val="0"/>
          <w:color w:val="000000" w:themeColor="text1"/>
          <w:sz w:val="28"/>
          <w:szCs w:val="28"/>
          <w:lang w:val="fr-CA"/>
        </w:rPr>
        <w:t xml:space="preserve">(v) </w:t>
      </w:r>
      <w:r w:rsidR="00523346" w:rsidRPr="00F45FEF">
        <w:rPr>
          <w:rFonts w:ascii="Arial" w:hAnsi="Arial" w:cs="Arial"/>
          <w:i w:val="0"/>
          <w:iCs w:val="0"/>
          <w:color w:val="000000" w:themeColor="text1"/>
          <w:sz w:val="28"/>
          <w:szCs w:val="28"/>
          <w:lang w:val="fr-CA"/>
        </w:rPr>
        <w:t>Arrêts des transports en commun (article 47 des NAI)</w:t>
      </w:r>
      <w:bookmarkEnd w:id="66"/>
    </w:p>
    <w:p w14:paraId="39F257CF" w14:textId="77777777" w:rsidR="00023F99" w:rsidRPr="006E0392" w:rsidRDefault="00523346">
      <w:pPr>
        <w:pStyle w:val="BodyText"/>
        <w:spacing w:before="283"/>
        <w:ind w:right="1076"/>
        <w:jc w:val="both"/>
        <w:rPr>
          <w:lang w:val="fr-FR"/>
        </w:rPr>
      </w:pPr>
      <w:r>
        <w:rPr>
          <w:lang w:val="fr-CA"/>
        </w:rPr>
        <w:t>Metrolinx s’assure que les clients handicapés peuvent monter ou descendre des autobus et des tramways à l’emplacement sûr le plus proche possible, si l’arrêt officiel n’est pas accessible. Les préférences de la personne handicapée sont prises en compte pour déterminer où s’arrêter, et le personnel de Metrolinx signalera tout arrêt des transports en commun temporairement inaccessible à l’autorité compétente dès que possible.</w:t>
      </w:r>
    </w:p>
    <w:p w14:paraId="211F8581" w14:textId="77777777" w:rsidR="00023F99" w:rsidRPr="00154DF1" w:rsidRDefault="00523346" w:rsidP="000F1E35">
      <w:pPr>
        <w:pStyle w:val="Heading3"/>
        <w:numPr>
          <w:ilvl w:val="1"/>
          <w:numId w:val="7"/>
        </w:numPr>
        <w:spacing w:before="240"/>
        <w:ind w:left="720" w:hanging="361"/>
        <w:rPr>
          <w:rFonts w:ascii="Arial" w:hAnsi="Arial" w:cs="Arial"/>
          <w:b/>
          <w:bCs/>
          <w:color w:val="000000" w:themeColor="text1"/>
          <w:sz w:val="28"/>
          <w:szCs w:val="28"/>
          <w:lang w:val="fr-CA"/>
        </w:rPr>
      </w:pPr>
      <w:bookmarkStart w:id="67" w:name="(i)_Customer_Communications"/>
      <w:bookmarkStart w:id="68" w:name="_Toc229053539"/>
      <w:bookmarkEnd w:id="67"/>
      <w:r w:rsidRPr="00154DF1">
        <w:rPr>
          <w:rFonts w:ascii="Arial" w:hAnsi="Arial" w:cs="Arial"/>
          <w:b/>
          <w:bCs/>
          <w:color w:val="000000" w:themeColor="text1"/>
          <w:sz w:val="28"/>
          <w:szCs w:val="28"/>
          <w:lang w:val="fr-CA"/>
        </w:rPr>
        <w:lastRenderedPageBreak/>
        <w:t>Communications avec la clientèle</w:t>
      </w:r>
      <w:bookmarkEnd w:id="68"/>
    </w:p>
    <w:p w14:paraId="51516F84" w14:textId="10E4CD03" w:rsidR="00023F99" w:rsidRPr="00F45FEF" w:rsidRDefault="005F0390" w:rsidP="008213A7">
      <w:pPr>
        <w:pStyle w:val="Heading4"/>
        <w:spacing w:before="360"/>
        <w:ind w:left="720" w:right="1620" w:hanging="360"/>
        <w:rPr>
          <w:rFonts w:ascii="Arial" w:hAnsi="Arial" w:cs="Arial"/>
          <w:i w:val="0"/>
          <w:iCs w:val="0"/>
          <w:color w:val="000000" w:themeColor="text1"/>
          <w:sz w:val="28"/>
          <w:szCs w:val="28"/>
          <w:lang w:val="fr-CA"/>
        </w:rPr>
      </w:pPr>
      <w:bookmarkStart w:id="69" w:name="(i)_Availability_of_Information_on_Acces"/>
      <w:bookmarkStart w:id="70" w:name="_Toc229053540"/>
      <w:bookmarkEnd w:id="69"/>
      <w:r>
        <w:rPr>
          <w:rFonts w:ascii="Arial" w:hAnsi="Arial" w:cs="Arial"/>
          <w:i w:val="0"/>
          <w:iCs w:val="0"/>
          <w:color w:val="000000" w:themeColor="text1"/>
          <w:sz w:val="28"/>
          <w:szCs w:val="28"/>
          <w:lang w:val="fr-CA"/>
        </w:rPr>
        <w:t xml:space="preserve">(i) </w:t>
      </w:r>
      <w:r w:rsidR="00523346" w:rsidRPr="00F45FEF">
        <w:rPr>
          <w:rFonts w:ascii="Arial" w:hAnsi="Arial" w:cs="Arial"/>
          <w:i w:val="0"/>
          <w:iCs w:val="0"/>
          <w:color w:val="000000" w:themeColor="text1"/>
          <w:sz w:val="28"/>
          <w:szCs w:val="28"/>
          <w:lang w:val="fr-CA"/>
        </w:rPr>
        <w:t xml:space="preserve">Disponibilité des renseignements sur l’équipement d’accessibilité </w:t>
      </w:r>
      <w:bookmarkStart w:id="71" w:name="(IAS_Clause_34)"/>
      <w:bookmarkEnd w:id="71"/>
      <w:r w:rsidR="00523346" w:rsidRPr="00F45FEF">
        <w:rPr>
          <w:rFonts w:ascii="Arial" w:hAnsi="Arial" w:cs="Arial"/>
          <w:i w:val="0"/>
          <w:iCs w:val="0"/>
          <w:color w:val="000000" w:themeColor="text1"/>
          <w:sz w:val="28"/>
          <w:szCs w:val="28"/>
          <w:lang w:val="fr-CA"/>
        </w:rPr>
        <w:t>(article 34 des NAI)</w:t>
      </w:r>
      <w:bookmarkEnd w:id="70"/>
    </w:p>
    <w:p w14:paraId="3C3009FF" w14:textId="77777777" w:rsidR="00023F99" w:rsidRPr="006E0392" w:rsidRDefault="00523346">
      <w:pPr>
        <w:pStyle w:val="BodyText"/>
        <w:spacing w:before="274"/>
        <w:ind w:right="1077"/>
        <w:rPr>
          <w:lang w:val="fr-FR"/>
        </w:rPr>
      </w:pPr>
      <w:r>
        <w:rPr>
          <w:lang w:val="fr-CA"/>
        </w:rPr>
        <w:t>Les sites Web de Metrolinx et ses divisions opérationnelles comprennent des informations sur l’équipement d’accessibilité utilisé pour fournir des services aux clients. Ces informations sont disponibles dans d’autres formats sur demande et sont mises à jour au besoin.</w:t>
      </w:r>
    </w:p>
    <w:p w14:paraId="19FC5CD2" w14:textId="7CEC8DF3" w:rsidR="00023F99" w:rsidRPr="00F45FEF" w:rsidRDefault="00B30DD1" w:rsidP="0026010F">
      <w:pPr>
        <w:pStyle w:val="Heading4"/>
        <w:spacing w:before="240"/>
        <w:ind w:left="720" w:hanging="360"/>
        <w:rPr>
          <w:rFonts w:ascii="Arial" w:hAnsi="Arial" w:cs="Arial"/>
          <w:i w:val="0"/>
          <w:iCs w:val="0"/>
          <w:color w:val="000000" w:themeColor="text1"/>
          <w:sz w:val="28"/>
          <w:szCs w:val="28"/>
          <w:lang w:val="fr-CA"/>
        </w:rPr>
      </w:pPr>
      <w:bookmarkStart w:id="72" w:name="(ii)_Pre-Boarding/_On-Board_Announcement"/>
      <w:bookmarkStart w:id="73" w:name="_Toc229053541"/>
      <w:bookmarkEnd w:id="72"/>
      <w:r>
        <w:rPr>
          <w:rFonts w:ascii="Arial" w:hAnsi="Arial" w:cs="Arial"/>
          <w:i w:val="0"/>
          <w:iCs w:val="0"/>
          <w:color w:val="000000" w:themeColor="text1"/>
          <w:sz w:val="28"/>
          <w:szCs w:val="28"/>
          <w:lang w:val="fr-CA"/>
        </w:rPr>
        <w:t xml:space="preserve">(ii) </w:t>
      </w:r>
      <w:r w:rsidR="00523346" w:rsidRPr="00F45FEF">
        <w:rPr>
          <w:rFonts w:ascii="Arial" w:hAnsi="Arial" w:cs="Arial"/>
          <w:i w:val="0"/>
          <w:iCs w:val="0"/>
          <w:color w:val="000000" w:themeColor="text1"/>
          <w:sz w:val="28"/>
          <w:szCs w:val="28"/>
          <w:lang w:val="fr-CA"/>
        </w:rPr>
        <w:t>Annonces avant la montée des passagers et à bord (articles 51 et 52 des NAI)</w:t>
      </w:r>
      <w:bookmarkEnd w:id="73"/>
    </w:p>
    <w:p w14:paraId="69A6EADA" w14:textId="6A123490" w:rsidR="00023F99" w:rsidRPr="006E0392" w:rsidRDefault="00523346" w:rsidP="00D67200">
      <w:pPr>
        <w:pStyle w:val="BodyText"/>
        <w:spacing w:before="283"/>
        <w:ind w:left="361" w:right="1098"/>
        <w:rPr>
          <w:lang w:val="fr-FR"/>
        </w:rPr>
      </w:pPr>
      <w:r>
        <w:rPr>
          <w:lang w:val="fr-CA"/>
        </w:rPr>
        <w:t>Metrolinx s’assure que des annonces verbales concernant l’embarquement préalable, le trajet, la direction, le prochain arrêt ou la destination sont faites sur demande.</w:t>
      </w:r>
      <w:r w:rsidR="00D67200">
        <w:rPr>
          <w:lang w:val="fr-CA"/>
        </w:rPr>
        <w:t xml:space="preserve"> </w:t>
      </w:r>
      <w:r>
        <w:rPr>
          <w:lang w:val="fr-CA"/>
        </w:rPr>
        <w:t>Metrolinx s’engage à introduire des annonces à bord électroniques (visibles et audibles) pour fournir ces informations sur tous les véhicules d’ici la date de conformité du 1</w:t>
      </w:r>
      <w:r>
        <w:rPr>
          <w:vertAlign w:val="superscript"/>
          <w:lang w:val="fr-CA"/>
        </w:rPr>
        <w:t>er</w:t>
      </w:r>
      <w:r>
        <w:rPr>
          <w:lang w:val="fr-CA"/>
        </w:rPr>
        <w:t> janvier 2017.</w:t>
      </w:r>
    </w:p>
    <w:p w14:paraId="438CAAED" w14:textId="6238060A" w:rsidR="00023F99" w:rsidRPr="00F45FEF" w:rsidRDefault="005F4F28" w:rsidP="005F4F28">
      <w:pPr>
        <w:pStyle w:val="Heading4"/>
        <w:spacing w:before="240"/>
        <w:ind w:firstLine="360"/>
        <w:rPr>
          <w:rFonts w:ascii="Arial" w:hAnsi="Arial" w:cs="Arial"/>
          <w:i w:val="0"/>
          <w:iCs w:val="0"/>
          <w:color w:val="000000" w:themeColor="text1"/>
          <w:sz w:val="28"/>
          <w:szCs w:val="28"/>
          <w:lang w:val="fr-CA"/>
        </w:rPr>
      </w:pPr>
      <w:bookmarkStart w:id="74" w:name="_Toc229053542"/>
      <w:r>
        <w:rPr>
          <w:rFonts w:ascii="Arial" w:hAnsi="Arial" w:cs="Arial"/>
          <w:i w:val="0"/>
          <w:iCs w:val="0"/>
          <w:color w:val="000000" w:themeColor="text1"/>
          <w:sz w:val="28"/>
          <w:szCs w:val="28"/>
          <w:lang w:val="fr-CA"/>
        </w:rPr>
        <w:t xml:space="preserve">(iii) </w:t>
      </w:r>
      <w:r w:rsidR="00523346" w:rsidRPr="00F45FEF">
        <w:rPr>
          <w:rFonts w:ascii="Arial" w:hAnsi="Arial" w:cs="Arial"/>
          <w:i w:val="0"/>
          <w:iCs w:val="0"/>
          <w:color w:val="000000" w:themeColor="text1"/>
          <w:sz w:val="28"/>
          <w:szCs w:val="28"/>
          <w:lang w:val="fr-CA"/>
        </w:rPr>
        <w:t>Interruptions de service accessibles</w:t>
      </w:r>
      <w:bookmarkEnd w:id="74"/>
    </w:p>
    <w:p w14:paraId="06861800" w14:textId="77777777" w:rsidR="00023F99" w:rsidRPr="006E0392" w:rsidRDefault="00523346">
      <w:pPr>
        <w:pStyle w:val="BodyText"/>
        <w:spacing w:before="278"/>
        <w:ind w:right="1113" w:hanging="1"/>
        <w:rPr>
          <w:lang w:val="fr-FR"/>
        </w:rPr>
      </w:pPr>
      <w:r>
        <w:rPr>
          <w:lang w:val="fr-CA"/>
        </w:rPr>
        <w:t>Tous les arrangements nécessaires pour fournir un service de remplacement en cas d’interruption de service sont communiqués aux clients rapidement d’une manière qui les tient informés et qui tient compte de leur handicap. Les informations sur les équipements d’accessibilité non fonctionnels sont communiquées le plus rapidement possible au public en utilisant Internet, le courriel d’abonnement, et les communications sur place et à bord si approprié</w:t>
      </w:r>
    </w:p>
    <w:p w14:paraId="61535991" w14:textId="77777777" w:rsidR="00023F99" w:rsidRPr="00154DF1" w:rsidRDefault="00523346" w:rsidP="009902CA">
      <w:pPr>
        <w:pStyle w:val="Heading3"/>
        <w:numPr>
          <w:ilvl w:val="1"/>
          <w:numId w:val="7"/>
        </w:numPr>
        <w:spacing w:before="240"/>
        <w:ind w:left="720" w:hanging="361"/>
        <w:rPr>
          <w:rFonts w:ascii="Arial" w:hAnsi="Arial" w:cs="Arial"/>
          <w:b/>
          <w:bCs/>
          <w:color w:val="000000" w:themeColor="text1"/>
          <w:sz w:val="28"/>
          <w:szCs w:val="28"/>
          <w:lang w:val="fr-CA"/>
        </w:rPr>
      </w:pPr>
      <w:bookmarkStart w:id="75" w:name="(j)_Fares_and_Transportation_Policies"/>
      <w:bookmarkStart w:id="76" w:name="_Toc229053543"/>
      <w:bookmarkEnd w:id="75"/>
      <w:r w:rsidRPr="00154DF1">
        <w:rPr>
          <w:rFonts w:ascii="Arial" w:hAnsi="Arial" w:cs="Arial"/>
          <w:b/>
          <w:bCs/>
          <w:color w:val="000000" w:themeColor="text1"/>
          <w:sz w:val="28"/>
          <w:szCs w:val="28"/>
          <w:lang w:val="fr-CA"/>
        </w:rPr>
        <w:t>Tarifs et politiques sur les transports</w:t>
      </w:r>
      <w:bookmarkEnd w:id="76"/>
    </w:p>
    <w:p w14:paraId="559FF7E6" w14:textId="6188270F" w:rsidR="00023F99" w:rsidRPr="00F45FEF" w:rsidRDefault="005505C5" w:rsidP="005505C5">
      <w:pPr>
        <w:pStyle w:val="Heading4"/>
        <w:spacing w:before="240"/>
        <w:ind w:firstLine="360"/>
        <w:rPr>
          <w:rFonts w:ascii="Arial" w:hAnsi="Arial" w:cs="Arial"/>
          <w:i w:val="0"/>
          <w:iCs w:val="0"/>
          <w:color w:val="000000" w:themeColor="text1"/>
          <w:sz w:val="28"/>
          <w:szCs w:val="28"/>
          <w:lang w:val="fr-CA"/>
        </w:rPr>
      </w:pPr>
      <w:bookmarkStart w:id="77" w:name="(i)_Fare_Parity"/>
      <w:bookmarkStart w:id="78" w:name="_Toc229053544"/>
      <w:bookmarkEnd w:id="77"/>
      <w:r>
        <w:rPr>
          <w:rFonts w:ascii="Arial" w:hAnsi="Arial" w:cs="Arial"/>
          <w:i w:val="0"/>
          <w:iCs w:val="0"/>
          <w:color w:val="000000" w:themeColor="text1"/>
          <w:sz w:val="28"/>
          <w:szCs w:val="28"/>
          <w:lang w:val="fr-CA"/>
        </w:rPr>
        <w:t xml:space="preserve">(i) </w:t>
      </w:r>
      <w:r w:rsidR="00523346" w:rsidRPr="00F45FEF">
        <w:rPr>
          <w:rFonts w:ascii="Arial" w:hAnsi="Arial" w:cs="Arial"/>
          <w:i w:val="0"/>
          <w:iCs w:val="0"/>
          <w:color w:val="000000" w:themeColor="text1"/>
          <w:sz w:val="28"/>
          <w:szCs w:val="28"/>
          <w:lang w:val="fr-CA"/>
        </w:rPr>
        <w:t>Parité tarifaire</w:t>
      </w:r>
      <w:bookmarkEnd w:id="78"/>
    </w:p>
    <w:p w14:paraId="74F625CB" w14:textId="26B709A8" w:rsidR="003F0747" w:rsidRDefault="00523346">
      <w:pPr>
        <w:pStyle w:val="BodyText"/>
        <w:spacing w:before="280"/>
        <w:ind w:right="1098"/>
        <w:rPr>
          <w:lang w:val="fr-CA"/>
        </w:rPr>
      </w:pPr>
      <w:r>
        <w:rPr>
          <w:lang w:val="fr-CA"/>
        </w:rPr>
        <w:t>Les personnes handicapées paient le même tarif que les autres clients pour les services de Metrolinx.</w:t>
      </w:r>
      <w:r w:rsidR="003F0747">
        <w:rPr>
          <w:lang w:val="fr-CA"/>
        </w:rPr>
        <w:br w:type="page"/>
      </w:r>
    </w:p>
    <w:p w14:paraId="2214C486" w14:textId="652EA52A" w:rsidR="003F0747" w:rsidRDefault="00E7553A" w:rsidP="00E7553A">
      <w:pPr>
        <w:pStyle w:val="Heading4"/>
        <w:spacing w:before="240"/>
        <w:ind w:firstLine="360"/>
        <w:rPr>
          <w:rFonts w:ascii="Arial" w:hAnsi="Arial" w:cs="Arial"/>
          <w:i w:val="0"/>
          <w:iCs w:val="0"/>
          <w:color w:val="000000" w:themeColor="text1"/>
          <w:sz w:val="28"/>
          <w:szCs w:val="28"/>
          <w:lang w:val="fr-CA"/>
        </w:rPr>
      </w:pPr>
      <w:bookmarkStart w:id="79" w:name="(ii)_Support_Persons"/>
      <w:bookmarkStart w:id="80" w:name="_Toc229053545"/>
      <w:bookmarkEnd w:id="79"/>
      <w:r>
        <w:rPr>
          <w:rFonts w:ascii="Arial" w:hAnsi="Arial" w:cs="Arial"/>
          <w:i w:val="0"/>
          <w:iCs w:val="0"/>
          <w:color w:val="000000" w:themeColor="text1"/>
          <w:sz w:val="28"/>
          <w:szCs w:val="28"/>
          <w:lang w:val="fr-CA"/>
        </w:rPr>
        <w:lastRenderedPageBreak/>
        <w:t xml:space="preserve">(ii) </w:t>
      </w:r>
      <w:r w:rsidR="00523346" w:rsidRPr="00F45FEF">
        <w:rPr>
          <w:rFonts w:ascii="Arial" w:hAnsi="Arial" w:cs="Arial"/>
          <w:i w:val="0"/>
          <w:iCs w:val="0"/>
          <w:color w:val="000000" w:themeColor="text1"/>
          <w:sz w:val="28"/>
          <w:szCs w:val="28"/>
          <w:lang w:val="fr-CA"/>
        </w:rPr>
        <w:t>Personnes de soutien</w:t>
      </w:r>
      <w:bookmarkEnd w:id="80"/>
    </w:p>
    <w:p w14:paraId="11C41230" w14:textId="77777777" w:rsidR="00023F99" w:rsidRPr="006E0392" w:rsidRDefault="00523346">
      <w:pPr>
        <w:pStyle w:val="BodyText"/>
        <w:spacing w:before="283"/>
        <w:ind w:right="1075"/>
        <w:jc w:val="both"/>
        <w:rPr>
          <w:lang w:val="fr-FR"/>
        </w:rPr>
      </w:pPr>
      <w:r>
        <w:rPr>
          <w:lang w:val="fr-CA"/>
        </w:rPr>
        <w:t>Les clients qui nécessitent une aide physique pendant leur voyage sur les services de Metrolinx (y compris l’aide pour monter à bord ou descendre d’un véhicule) doivent être accompagnés d’une personne de soutien capable de fournir cette aide. Metrolinx ne facture pas de tarif pour les personnes de soutien qui accompagnent les personnes handicapées afin de les aider.</w:t>
      </w:r>
    </w:p>
    <w:p w14:paraId="29FA762F" w14:textId="79195902" w:rsidR="00023F99" w:rsidRPr="00F45FEF" w:rsidRDefault="00921100" w:rsidP="00921100">
      <w:pPr>
        <w:pStyle w:val="Heading4"/>
        <w:spacing w:before="240"/>
        <w:ind w:firstLine="360"/>
        <w:rPr>
          <w:rFonts w:ascii="Arial" w:hAnsi="Arial" w:cs="Arial"/>
          <w:i w:val="0"/>
          <w:iCs w:val="0"/>
          <w:color w:val="000000" w:themeColor="text1"/>
          <w:sz w:val="28"/>
          <w:szCs w:val="28"/>
          <w:lang w:val="fr-CA"/>
        </w:rPr>
      </w:pPr>
      <w:bookmarkStart w:id="81" w:name="(iii)_Service_Animals"/>
      <w:bookmarkStart w:id="82" w:name="_Toc229053546"/>
      <w:bookmarkEnd w:id="81"/>
      <w:r>
        <w:rPr>
          <w:rFonts w:ascii="Arial" w:hAnsi="Arial" w:cs="Arial"/>
          <w:i w:val="0"/>
          <w:iCs w:val="0"/>
          <w:color w:val="000000" w:themeColor="text1"/>
          <w:sz w:val="28"/>
          <w:szCs w:val="28"/>
          <w:lang w:val="fr-CA"/>
        </w:rPr>
        <w:t xml:space="preserve">(iii) </w:t>
      </w:r>
      <w:r w:rsidR="00523346" w:rsidRPr="00F45FEF">
        <w:rPr>
          <w:rFonts w:ascii="Arial" w:hAnsi="Arial" w:cs="Arial"/>
          <w:i w:val="0"/>
          <w:iCs w:val="0"/>
          <w:color w:val="000000" w:themeColor="text1"/>
          <w:sz w:val="28"/>
          <w:szCs w:val="28"/>
          <w:lang w:val="fr-CA"/>
        </w:rPr>
        <w:t>Animaux d’assistance</w:t>
      </w:r>
      <w:bookmarkEnd w:id="82"/>
    </w:p>
    <w:p w14:paraId="0894AC24" w14:textId="77777777" w:rsidR="00023F99" w:rsidRPr="006E0392" w:rsidRDefault="00523346">
      <w:pPr>
        <w:pStyle w:val="BodyText"/>
        <w:spacing w:before="283"/>
        <w:ind w:right="1077"/>
        <w:rPr>
          <w:lang w:val="fr-FR"/>
        </w:rPr>
      </w:pPr>
      <w:r>
        <w:rPr>
          <w:lang w:val="fr-CA"/>
        </w:rPr>
        <w:t>Les animaux d’assistance accompagnant les clients handicapés sont autorisés dans tous les services de Metrolinx et peuvent entrer en tout temps dans les locaux détenus et exploités par Metrolinx. Le propriétaire de l’animal d’assistance peut être tenu de présenter une pièce d’identité appropriée. Un client voyageant avec l’aide d’un chien-guide ou d’un chien-guide avec habiletés spéciales peut toujours voyager avec une personne de soutien avec un « billet collectif ».</w:t>
      </w:r>
    </w:p>
    <w:p w14:paraId="718099D6" w14:textId="1DB302B9" w:rsidR="00023F99" w:rsidRPr="00F45FEF" w:rsidRDefault="00CB3861" w:rsidP="00D43470">
      <w:pPr>
        <w:pStyle w:val="Heading4"/>
        <w:spacing w:before="120"/>
        <w:ind w:firstLine="360"/>
        <w:rPr>
          <w:rFonts w:ascii="Arial" w:hAnsi="Arial" w:cs="Arial"/>
          <w:i w:val="0"/>
          <w:iCs w:val="0"/>
          <w:color w:val="000000" w:themeColor="text1"/>
          <w:sz w:val="28"/>
          <w:szCs w:val="28"/>
          <w:lang w:val="fr-CA"/>
        </w:rPr>
      </w:pPr>
      <w:bookmarkStart w:id="83" w:name="(iv)_Storage_of_Mobility_Aids"/>
      <w:bookmarkStart w:id="84" w:name="_Toc229053547"/>
      <w:bookmarkEnd w:id="83"/>
      <w:r>
        <w:rPr>
          <w:rFonts w:ascii="Arial" w:hAnsi="Arial" w:cs="Arial"/>
          <w:i w:val="0"/>
          <w:iCs w:val="0"/>
          <w:color w:val="000000" w:themeColor="text1"/>
          <w:sz w:val="28"/>
          <w:szCs w:val="28"/>
          <w:lang w:val="fr-CA"/>
        </w:rPr>
        <w:t xml:space="preserve">(iv) </w:t>
      </w:r>
      <w:r w:rsidR="00523346" w:rsidRPr="00F45FEF">
        <w:rPr>
          <w:rFonts w:ascii="Arial" w:hAnsi="Arial" w:cs="Arial"/>
          <w:i w:val="0"/>
          <w:iCs w:val="0"/>
          <w:color w:val="000000" w:themeColor="text1"/>
          <w:sz w:val="28"/>
          <w:szCs w:val="28"/>
          <w:lang w:val="fr-CA"/>
        </w:rPr>
        <w:t>Remisage des aides à la mobilité</w:t>
      </w:r>
      <w:bookmarkEnd w:id="84"/>
    </w:p>
    <w:p w14:paraId="6D9A9C87" w14:textId="666A8140" w:rsidR="00023F99" w:rsidRPr="006E0392" w:rsidRDefault="00523346">
      <w:pPr>
        <w:pStyle w:val="BodyText"/>
        <w:spacing w:before="283"/>
        <w:ind w:left="359" w:right="1098"/>
        <w:rPr>
          <w:lang w:val="fr-FR"/>
        </w:rPr>
      </w:pPr>
      <w:r>
        <w:rPr>
          <w:lang w:val="fr-CA"/>
        </w:rPr>
        <w:t xml:space="preserve">Metrolinx entrepose les aides à la mobilité des clients dans les véhicules sans frais </w:t>
      </w:r>
      <w:bookmarkStart w:id="85" w:name="(v)_Emergency_Preparedness_and_Response_"/>
      <w:bookmarkEnd w:id="85"/>
      <w:r>
        <w:rPr>
          <w:lang w:val="fr-CA"/>
        </w:rPr>
        <w:t xml:space="preserve">et les garde </w:t>
      </w:r>
      <w:r w:rsidR="00C84A09">
        <w:rPr>
          <w:lang w:val="fr-CA"/>
        </w:rPr>
        <w:t>à</w:t>
      </w:r>
      <w:r>
        <w:rPr>
          <w:lang w:val="fr-CA"/>
        </w:rPr>
        <w:t xml:space="preserve"> proximité de leur propriétaire en tout temps.</w:t>
      </w:r>
    </w:p>
    <w:p w14:paraId="5F73D590" w14:textId="4D04EB6E" w:rsidR="00023F99" w:rsidRPr="00F45FEF" w:rsidRDefault="00C65C3E" w:rsidP="001B4824">
      <w:pPr>
        <w:pStyle w:val="Heading4"/>
        <w:spacing w:before="240"/>
        <w:ind w:left="810" w:hanging="450"/>
        <w:rPr>
          <w:rFonts w:ascii="Arial" w:hAnsi="Arial" w:cs="Arial"/>
          <w:i w:val="0"/>
          <w:iCs w:val="0"/>
          <w:color w:val="000000" w:themeColor="text1"/>
          <w:sz w:val="28"/>
          <w:szCs w:val="28"/>
          <w:lang w:val="fr-CA"/>
        </w:rPr>
      </w:pPr>
      <w:bookmarkStart w:id="86" w:name="_Toc229053548"/>
      <w:r>
        <w:rPr>
          <w:rFonts w:ascii="Arial" w:hAnsi="Arial" w:cs="Arial"/>
          <w:i w:val="0"/>
          <w:iCs w:val="0"/>
          <w:color w:val="000000" w:themeColor="text1"/>
          <w:sz w:val="28"/>
          <w:szCs w:val="28"/>
          <w:lang w:val="fr-CA"/>
        </w:rPr>
        <w:t xml:space="preserve">(v) </w:t>
      </w:r>
      <w:r w:rsidR="00523346" w:rsidRPr="00F45FEF">
        <w:rPr>
          <w:rFonts w:ascii="Arial" w:hAnsi="Arial" w:cs="Arial"/>
          <w:i w:val="0"/>
          <w:iCs w:val="0"/>
          <w:color w:val="000000" w:themeColor="text1"/>
          <w:sz w:val="28"/>
          <w:szCs w:val="28"/>
          <w:lang w:val="fr-CA"/>
        </w:rPr>
        <w:t>Politiques en matière de protection civile et d’interventions d’urgence (article 37 des NAI)</w:t>
      </w:r>
      <w:bookmarkEnd w:id="86"/>
    </w:p>
    <w:p w14:paraId="79D4CC27" w14:textId="77777777" w:rsidR="00023F99" w:rsidRPr="006E0392" w:rsidRDefault="00523346">
      <w:pPr>
        <w:pStyle w:val="BodyText"/>
        <w:spacing w:before="283"/>
        <w:ind w:right="1098"/>
        <w:rPr>
          <w:lang w:val="fr-FR"/>
        </w:rPr>
      </w:pPr>
      <w:r>
        <w:rPr>
          <w:lang w:val="fr-CA"/>
        </w:rPr>
        <w:t>Metrolinx établit, documente, met en œuvre et maintient des politiques de préparation et d’intervention d’urgence qui assurent la sécurité des clients handicapés, notamment dans les véhicules et dans les installations.</w:t>
      </w:r>
    </w:p>
    <w:p w14:paraId="73A8E203" w14:textId="77777777" w:rsidR="00023F99" w:rsidRPr="00154DF1" w:rsidRDefault="00523346" w:rsidP="00154DF1">
      <w:pPr>
        <w:pStyle w:val="Heading3"/>
        <w:numPr>
          <w:ilvl w:val="1"/>
          <w:numId w:val="7"/>
        </w:numPr>
        <w:spacing w:before="240"/>
        <w:rPr>
          <w:rFonts w:ascii="Arial" w:hAnsi="Arial" w:cs="Arial"/>
          <w:b/>
          <w:bCs/>
          <w:color w:val="000000" w:themeColor="text1"/>
          <w:sz w:val="28"/>
          <w:szCs w:val="28"/>
          <w:lang w:val="fr-CA"/>
        </w:rPr>
      </w:pPr>
      <w:bookmarkStart w:id="87" w:name="(k)_Transportation_Vehicles_and_Faciliti"/>
      <w:bookmarkStart w:id="88" w:name="_Toc229053549"/>
      <w:bookmarkEnd w:id="87"/>
      <w:r w:rsidRPr="00154DF1">
        <w:rPr>
          <w:rFonts w:ascii="Arial" w:hAnsi="Arial" w:cs="Arial"/>
          <w:b/>
          <w:bCs/>
          <w:color w:val="000000" w:themeColor="text1"/>
          <w:sz w:val="28"/>
          <w:szCs w:val="28"/>
          <w:lang w:val="fr-CA"/>
        </w:rPr>
        <w:t>Véhicules de transport et installations</w:t>
      </w:r>
      <w:bookmarkEnd w:id="88"/>
    </w:p>
    <w:p w14:paraId="30F37205" w14:textId="0239AD63" w:rsidR="00023F99" w:rsidRPr="00F45FEF" w:rsidRDefault="002F383B" w:rsidP="002F383B">
      <w:pPr>
        <w:pStyle w:val="Heading4"/>
        <w:spacing w:before="240"/>
        <w:ind w:firstLine="360"/>
        <w:rPr>
          <w:rFonts w:ascii="Arial" w:hAnsi="Arial" w:cs="Arial"/>
          <w:i w:val="0"/>
          <w:iCs w:val="0"/>
          <w:color w:val="000000" w:themeColor="text1"/>
          <w:sz w:val="28"/>
          <w:szCs w:val="28"/>
          <w:lang w:val="fr-CA"/>
        </w:rPr>
      </w:pPr>
      <w:bookmarkStart w:id="89" w:name="(i)_Priority_Seating_(Clause_49_IAS)"/>
      <w:bookmarkStart w:id="90" w:name="_Toc229053550"/>
      <w:bookmarkEnd w:id="89"/>
      <w:r>
        <w:rPr>
          <w:rFonts w:ascii="Arial" w:hAnsi="Arial" w:cs="Arial"/>
          <w:i w:val="0"/>
          <w:iCs w:val="0"/>
          <w:color w:val="000000" w:themeColor="text1"/>
          <w:sz w:val="28"/>
          <w:szCs w:val="28"/>
          <w:lang w:val="fr-CA"/>
        </w:rPr>
        <w:t xml:space="preserve">(i) </w:t>
      </w:r>
      <w:r w:rsidR="00523346" w:rsidRPr="00F45FEF">
        <w:rPr>
          <w:rFonts w:ascii="Arial" w:hAnsi="Arial" w:cs="Arial"/>
          <w:i w:val="0"/>
          <w:iCs w:val="0"/>
          <w:color w:val="000000" w:themeColor="text1"/>
          <w:sz w:val="28"/>
          <w:szCs w:val="28"/>
          <w:lang w:val="fr-CA"/>
        </w:rPr>
        <w:t>Sièges réservés (article 49 des NAI)</w:t>
      </w:r>
      <w:bookmarkEnd w:id="90"/>
    </w:p>
    <w:p w14:paraId="0669F712" w14:textId="358319F0" w:rsidR="003F0747" w:rsidRDefault="00523346">
      <w:pPr>
        <w:pStyle w:val="BodyText"/>
        <w:spacing w:before="283"/>
        <w:ind w:right="1124" w:hanging="1"/>
        <w:rPr>
          <w:lang w:val="fr-CA"/>
        </w:rPr>
      </w:pPr>
      <w:r>
        <w:rPr>
          <w:lang w:val="fr-CA"/>
        </w:rPr>
        <w:t>Metrolinx offre sur ses véhicules des sièges de courtoisie clairement identifiés (désignés « Siège réservé ») pour les clients ayant des handicaps.</w:t>
      </w:r>
      <w:r w:rsidR="003F0747">
        <w:rPr>
          <w:lang w:val="fr-CA"/>
        </w:rPr>
        <w:br w:type="page"/>
      </w:r>
    </w:p>
    <w:p w14:paraId="2A382B6E" w14:textId="77777777" w:rsidR="00023F99" w:rsidRPr="006E0392" w:rsidRDefault="00523346" w:rsidP="003F0747">
      <w:pPr>
        <w:pStyle w:val="BodyText"/>
        <w:spacing w:before="200"/>
        <w:ind w:right="1098" w:hanging="1"/>
        <w:rPr>
          <w:lang w:val="fr-FR"/>
        </w:rPr>
      </w:pPr>
      <w:r>
        <w:rPr>
          <w:lang w:val="fr-CA"/>
        </w:rPr>
        <w:lastRenderedPageBreak/>
        <w:t>Metrolinx communique l’objet de ce siège et des instructions que les clients sans handicap doivent le libérer pour les personnes handicapées par des messages sur le véhicule, ainsi qu’un programme de communication de soutien. Les places assises de courtoisie sont situées près de la porte d’entrée du véhicule et Metrolinx offre également des « Sièges de courtoisie » désignés et encourage les clients à les céder volontairement à toute personne qui pourrait en bénéficier.</w:t>
      </w:r>
    </w:p>
    <w:p w14:paraId="47E6F626" w14:textId="7F5876B5" w:rsidR="00023F99" w:rsidRPr="00F45FEF" w:rsidRDefault="009D3212" w:rsidP="003F0747">
      <w:pPr>
        <w:pStyle w:val="Heading4"/>
        <w:spacing w:before="200"/>
        <w:ind w:firstLine="360"/>
        <w:rPr>
          <w:rFonts w:ascii="Arial" w:hAnsi="Arial" w:cs="Arial"/>
          <w:i w:val="0"/>
          <w:iCs w:val="0"/>
          <w:color w:val="000000" w:themeColor="text1"/>
          <w:sz w:val="28"/>
          <w:szCs w:val="28"/>
          <w:lang w:val="fr-CA"/>
        </w:rPr>
      </w:pPr>
      <w:bookmarkStart w:id="91" w:name="(ii)_Vehicle_design"/>
      <w:bookmarkStart w:id="92" w:name="_Toc229053551"/>
      <w:bookmarkEnd w:id="91"/>
      <w:r>
        <w:rPr>
          <w:rFonts w:ascii="Arial" w:hAnsi="Arial" w:cs="Arial"/>
          <w:i w:val="0"/>
          <w:iCs w:val="0"/>
          <w:color w:val="000000" w:themeColor="text1"/>
          <w:sz w:val="28"/>
          <w:szCs w:val="28"/>
          <w:lang w:val="fr-CA"/>
        </w:rPr>
        <w:t xml:space="preserve">(ii) </w:t>
      </w:r>
      <w:r w:rsidR="00523346" w:rsidRPr="00F45FEF">
        <w:rPr>
          <w:rFonts w:ascii="Arial" w:hAnsi="Arial" w:cs="Arial"/>
          <w:i w:val="0"/>
          <w:iCs w:val="0"/>
          <w:color w:val="000000" w:themeColor="text1"/>
          <w:sz w:val="28"/>
          <w:szCs w:val="28"/>
          <w:lang w:val="fr-CA"/>
        </w:rPr>
        <w:t>Conception des véhicules</w:t>
      </w:r>
      <w:bookmarkEnd w:id="92"/>
    </w:p>
    <w:p w14:paraId="027DEBD2" w14:textId="77777777" w:rsidR="00023F99" w:rsidRPr="006E0392" w:rsidRDefault="00523346" w:rsidP="003F0747">
      <w:pPr>
        <w:pStyle w:val="BodyText"/>
        <w:spacing w:before="160"/>
        <w:ind w:right="1124"/>
        <w:rPr>
          <w:lang w:val="fr-FR"/>
        </w:rPr>
      </w:pPr>
      <w:r>
        <w:rPr>
          <w:lang w:val="fr-CA"/>
        </w:rPr>
        <w:t>La conception de tous les véhicules actuels et futurs utilisés dans la prestation de ses services intègre des pratiques exemplaires pour le confort et la sécurité des clients handicapés, y compris des caractéristiques accessibles telles qu’identifiées dans la LAPHO et ses règlements.</w:t>
      </w:r>
    </w:p>
    <w:p w14:paraId="33CC8CDD" w14:textId="5DFCA1D7" w:rsidR="00023F99" w:rsidRPr="00F45FEF" w:rsidRDefault="009D3212" w:rsidP="003F0747">
      <w:pPr>
        <w:pStyle w:val="Heading4"/>
        <w:spacing w:before="200"/>
        <w:ind w:firstLine="360"/>
        <w:rPr>
          <w:rFonts w:ascii="Arial" w:hAnsi="Arial" w:cs="Arial"/>
          <w:i w:val="0"/>
          <w:iCs w:val="0"/>
          <w:color w:val="000000" w:themeColor="text1"/>
          <w:sz w:val="28"/>
          <w:szCs w:val="28"/>
          <w:lang w:val="fr-CA"/>
        </w:rPr>
      </w:pPr>
      <w:bookmarkStart w:id="93" w:name="_Toc229053552"/>
      <w:r>
        <w:rPr>
          <w:rFonts w:ascii="Arial" w:hAnsi="Arial" w:cs="Arial"/>
          <w:i w:val="0"/>
          <w:iCs w:val="0"/>
          <w:color w:val="000000" w:themeColor="text1"/>
          <w:sz w:val="28"/>
          <w:szCs w:val="28"/>
          <w:lang w:val="fr-CA"/>
        </w:rPr>
        <w:t xml:space="preserve">(iii) </w:t>
      </w:r>
      <w:r w:rsidR="00523346" w:rsidRPr="00F45FEF">
        <w:rPr>
          <w:rFonts w:ascii="Arial" w:hAnsi="Arial" w:cs="Arial"/>
          <w:i w:val="0"/>
          <w:iCs w:val="0"/>
          <w:color w:val="000000" w:themeColor="text1"/>
          <w:sz w:val="28"/>
          <w:szCs w:val="28"/>
          <w:lang w:val="fr-CA"/>
        </w:rPr>
        <w:t>Guichets libre-service (article 6 des NAI)</w:t>
      </w:r>
      <w:bookmarkEnd w:id="93"/>
    </w:p>
    <w:p w14:paraId="4944CF42" w14:textId="77777777" w:rsidR="00023F99" w:rsidRPr="006E0392" w:rsidRDefault="00523346" w:rsidP="003F0747">
      <w:pPr>
        <w:pStyle w:val="BodyText"/>
        <w:spacing w:before="160"/>
        <w:ind w:left="361" w:right="1397" w:hanging="1"/>
        <w:rPr>
          <w:lang w:val="fr-FR"/>
        </w:rPr>
      </w:pPr>
      <w:r>
        <w:rPr>
          <w:lang w:val="fr-CA"/>
        </w:rPr>
        <w:t>Tous les nouveaux guichets sont conçus avec des caractéristiques d’accessibilité. Lorsque les guichets existants sont améliorés, des améliorations en matière d’accessibilité sont intégrées dans la mesure du possible.</w:t>
      </w:r>
    </w:p>
    <w:p w14:paraId="14EC4F68" w14:textId="77777777" w:rsidR="00023F99" w:rsidRPr="00CD2913" w:rsidRDefault="00523346" w:rsidP="002052DC">
      <w:pPr>
        <w:pStyle w:val="Heading2"/>
        <w:spacing w:before="74"/>
        <w:ind w:left="815"/>
      </w:pPr>
      <w:bookmarkStart w:id="94" w:name="_Toc229053165"/>
      <w:bookmarkStart w:id="95" w:name="_Toc229053553"/>
      <w:r w:rsidRPr="00CD2913">
        <w:t>Législation et conventions applicables</w:t>
      </w:r>
      <w:bookmarkEnd w:id="94"/>
      <w:bookmarkEnd w:id="95"/>
    </w:p>
    <w:p w14:paraId="48AEFF8E" w14:textId="77777777" w:rsidR="00023F99" w:rsidRPr="006E0392" w:rsidRDefault="00523346" w:rsidP="003F0747">
      <w:pPr>
        <w:pStyle w:val="ListParagraph"/>
        <w:numPr>
          <w:ilvl w:val="2"/>
          <w:numId w:val="2"/>
        </w:numPr>
        <w:tabs>
          <w:tab w:val="left" w:pos="1080"/>
        </w:tabs>
        <w:spacing w:before="160" w:line="342" w:lineRule="exact"/>
        <w:ind w:left="1080"/>
        <w:rPr>
          <w:sz w:val="28"/>
          <w:lang w:val="fr-FR"/>
        </w:rPr>
      </w:pPr>
      <w:r>
        <w:rPr>
          <w:sz w:val="28"/>
          <w:lang w:val="fr-CA"/>
        </w:rPr>
        <w:t>Loi canadienne sur les droits de la personne (1977);</w:t>
      </w:r>
    </w:p>
    <w:p w14:paraId="7C8EBBF4" w14:textId="77777777" w:rsidR="00023F99" w:rsidRPr="006E0392" w:rsidRDefault="00523346">
      <w:pPr>
        <w:pStyle w:val="ListParagraph"/>
        <w:numPr>
          <w:ilvl w:val="2"/>
          <w:numId w:val="2"/>
        </w:numPr>
        <w:tabs>
          <w:tab w:val="left" w:pos="1080"/>
        </w:tabs>
        <w:spacing w:line="341" w:lineRule="exact"/>
        <w:ind w:left="1080" w:hanging="360"/>
        <w:rPr>
          <w:sz w:val="28"/>
          <w:lang w:val="fr-FR"/>
        </w:rPr>
      </w:pPr>
      <w:r>
        <w:rPr>
          <w:sz w:val="28"/>
          <w:lang w:val="fr-CA"/>
        </w:rPr>
        <w:t>Charte canadienne des droits et libertés (1982);</w:t>
      </w:r>
    </w:p>
    <w:p w14:paraId="0ACD89E3" w14:textId="77777777" w:rsidR="00023F99" w:rsidRPr="006E0392" w:rsidRDefault="00523346">
      <w:pPr>
        <w:pStyle w:val="ListParagraph"/>
        <w:numPr>
          <w:ilvl w:val="2"/>
          <w:numId w:val="2"/>
        </w:numPr>
        <w:tabs>
          <w:tab w:val="left" w:pos="1080"/>
        </w:tabs>
        <w:spacing w:line="341" w:lineRule="exact"/>
        <w:ind w:left="1080" w:hanging="360"/>
        <w:rPr>
          <w:sz w:val="28"/>
          <w:lang w:val="fr-FR"/>
        </w:rPr>
      </w:pPr>
      <w:r>
        <w:rPr>
          <w:sz w:val="28"/>
          <w:lang w:val="fr-CA"/>
        </w:rPr>
        <w:t>Loi canadienne sur l’équité en matière d’emploi (1995);</w:t>
      </w:r>
    </w:p>
    <w:p w14:paraId="0A2F81E4" w14:textId="77777777" w:rsidR="00023F99" w:rsidRPr="006E0392" w:rsidRDefault="00523346">
      <w:pPr>
        <w:pStyle w:val="ListParagraph"/>
        <w:numPr>
          <w:ilvl w:val="2"/>
          <w:numId w:val="2"/>
        </w:numPr>
        <w:tabs>
          <w:tab w:val="left" w:pos="1081"/>
        </w:tabs>
        <w:spacing w:line="341" w:lineRule="exact"/>
        <w:rPr>
          <w:sz w:val="28"/>
          <w:lang w:val="fr-FR"/>
        </w:rPr>
      </w:pPr>
      <w:r>
        <w:rPr>
          <w:sz w:val="28"/>
          <w:lang w:val="fr-CA"/>
        </w:rPr>
        <w:t>Code des droits de la personne de l’Ontario (1982);</w:t>
      </w:r>
    </w:p>
    <w:p w14:paraId="5B96B2B0" w14:textId="77777777" w:rsidR="00023F99" w:rsidRPr="006E0392" w:rsidRDefault="00523346">
      <w:pPr>
        <w:pStyle w:val="ListParagraph"/>
        <w:numPr>
          <w:ilvl w:val="2"/>
          <w:numId w:val="2"/>
        </w:numPr>
        <w:tabs>
          <w:tab w:val="left" w:pos="1081"/>
        </w:tabs>
        <w:spacing w:line="341" w:lineRule="exact"/>
        <w:ind w:hanging="360"/>
        <w:rPr>
          <w:sz w:val="28"/>
          <w:lang w:val="fr-FR"/>
        </w:rPr>
      </w:pPr>
      <w:r>
        <w:rPr>
          <w:sz w:val="28"/>
          <w:lang w:val="fr-CA"/>
        </w:rPr>
        <w:t>Loi sur les personnes handicapées de l’Ontario (2001);</w:t>
      </w:r>
    </w:p>
    <w:p w14:paraId="3F51DFE1" w14:textId="77777777" w:rsidR="00023F99" w:rsidRPr="006E0392" w:rsidRDefault="00523346">
      <w:pPr>
        <w:pStyle w:val="ListParagraph"/>
        <w:numPr>
          <w:ilvl w:val="2"/>
          <w:numId w:val="2"/>
        </w:numPr>
        <w:tabs>
          <w:tab w:val="left" w:pos="1081"/>
        </w:tabs>
        <w:spacing w:line="341" w:lineRule="exact"/>
        <w:ind w:hanging="360"/>
        <w:rPr>
          <w:sz w:val="28"/>
          <w:lang w:val="fr-FR"/>
        </w:rPr>
      </w:pPr>
      <w:r>
        <w:rPr>
          <w:sz w:val="28"/>
          <w:lang w:val="fr-CA"/>
        </w:rPr>
        <w:t>Loi de 2005 sur l’accessibilité pour les personnes handicapées de l’Ontario; et</w:t>
      </w:r>
    </w:p>
    <w:p w14:paraId="4306A1B1" w14:textId="77777777" w:rsidR="00023F99" w:rsidRPr="006E0392" w:rsidRDefault="00523346">
      <w:pPr>
        <w:pStyle w:val="ListParagraph"/>
        <w:numPr>
          <w:ilvl w:val="2"/>
          <w:numId w:val="2"/>
        </w:numPr>
        <w:tabs>
          <w:tab w:val="left" w:pos="1081"/>
        </w:tabs>
        <w:spacing w:before="2" w:line="237" w:lineRule="auto"/>
        <w:ind w:right="1509"/>
        <w:rPr>
          <w:sz w:val="28"/>
          <w:lang w:val="fr-FR"/>
        </w:rPr>
      </w:pPr>
      <w:r>
        <w:rPr>
          <w:sz w:val="28"/>
          <w:lang w:val="fr-CA"/>
        </w:rPr>
        <w:t>Convention des Nations Unies sur les droits des personnes handicapées (le Canada a signé la Convention en 2007 et elle a été ratifiée en 2010)</w:t>
      </w:r>
    </w:p>
    <w:p w14:paraId="7075CCCE" w14:textId="77777777" w:rsidR="00023F99" w:rsidRPr="006E0392" w:rsidRDefault="00523346" w:rsidP="003F0747">
      <w:pPr>
        <w:pStyle w:val="BodyText"/>
        <w:spacing w:before="200"/>
        <w:ind w:left="362" w:right="1146" w:hanging="1"/>
        <w:rPr>
          <w:lang w:val="fr-FR"/>
        </w:rPr>
      </w:pPr>
      <w:r>
        <w:rPr>
          <w:lang w:val="fr-CA"/>
        </w:rPr>
        <w:t xml:space="preserve">La </w:t>
      </w:r>
      <w:r>
        <w:rPr>
          <w:i/>
          <w:iCs/>
          <w:lang w:val="fr-CA"/>
        </w:rPr>
        <w:t xml:space="preserve">Loi de 2005 sur l’accessibilité pour les personnes handicapées de l’Ontario (LAPHO) </w:t>
      </w:r>
      <w:r>
        <w:rPr>
          <w:lang w:val="fr-CA"/>
        </w:rPr>
        <w:t>est une loi provinciale rédigée dans le but d’élaborer, de mettre en œuvre et de faire respecter des normes d’accessibilité afin d’atteindre l’accessibilité pour les personnes handicapées en ce qui concerne les biens, les services, les installations, l’hébergement, l’emploi, les bâtiments, les structures et les locaux d’ici le 1</w:t>
      </w:r>
      <w:r>
        <w:rPr>
          <w:vertAlign w:val="superscript"/>
          <w:lang w:val="fr-CA"/>
        </w:rPr>
        <w:t>er</w:t>
      </w:r>
      <w:r>
        <w:rPr>
          <w:lang w:val="fr-CA"/>
        </w:rPr>
        <w:t> janvier 2025.</w:t>
      </w:r>
    </w:p>
    <w:sectPr w:rsidR="00023F99" w:rsidRPr="006E0392">
      <w:pgSz w:w="12240" w:h="15840"/>
      <w:pgMar w:top="1360" w:right="720" w:bottom="1260" w:left="1440" w:header="0" w:footer="10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A021" w14:textId="77777777" w:rsidR="00BB2CD5" w:rsidRDefault="00BB2CD5">
      <w:r>
        <w:separator/>
      </w:r>
    </w:p>
  </w:endnote>
  <w:endnote w:type="continuationSeparator" w:id="0">
    <w:p w14:paraId="2DE2FB0D" w14:textId="77777777" w:rsidR="00BB2CD5" w:rsidRDefault="00BB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5966" w14:textId="77777777" w:rsidR="00023F99" w:rsidRDefault="00523346">
    <w:pPr>
      <w:pStyle w:val="BodyText"/>
      <w:spacing w:line="14" w:lineRule="auto"/>
      <w:ind w:left="0"/>
      <w:rPr>
        <w:sz w:val="20"/>
      </w:rPr>
    </w:pPr>
    <w:r>
      <w:rPr>
        <w:noProof/>
        <w:sz w:val="20"/>
        <w:lang w:val="fr-CA"/>
      </w:rPr>
      <mc:AlternateContent>
        <mc:Choice Requires="wps">
          <w:drawing>
            <wp:anchor distT="0" distB="0" distL="0" distR="0" simplePos="0" relativeHeight="251658752" behindDoc="1" locked="0" layoutInCell="1" allowOverlap="1" wp14:anchorId="6FEEFF1B" wp14:editId="3EBDB442">
              <wp:simplePos x="0" y="0"/>
              <wp:positionH relativeFrom="page">
                <wp:posOffset>3797300</wp:posOffset>
              </wp:positionH>
              <wp:positionV relativeFrom="page">
                <wp:posOffset>9239334</wp:posOffset>
              </wp:positionV>
              <wp:extent cx="177800" cy="194310"/>
              <wp:effectExtent l="0" t="0" r="0" b="0"/>
              <wp:wrapNone/>
              <wp:docPr id="2" name="Textbox 2"/>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0EB90ECA" w14:textId="77777777" w:rsidR="00023F99" w:rsidRDefault="00523346">
                          <w:pPr>
                            <w:spacing w:before="10"/>
                            <w:ind w:left="20"/>
                            <w:rPr>
                              <w:rFonts w:ascii="Times New Roman"/>
                              <w:sz w:val="24"/>
                            </w:rPr>
                          </w:pPr>
                          <w:r>
                            <w:rPr>
                              <w:rFonts w:ascii="Times New Roman" w:hAnsi="Times New Roman"/>
                              <w:sz w:val="24"/>
                              <w:lang w:val="fr-CA"/>
                            </w:rPr>
                            <w:fldChar w:fldCharType="begin"/>
                          </w:r>
                          <w:r>
                            <w:rPr>
                              <w:rFonts w:ascii="Times New Roman" w:hAnsi="Times New Roman"/>
                              <w:sz w:val="24"/>
                              <w:lang w:val="fr-CA"/>
                            </w:rPr>
                            <w:instrText xml:space="preserve"> PAGE </w:instrText>
                          </w:r>
                          <w:r>
                            <w:rPr>
                              <w:rFonts w:ascii="Times New Roman" w:hAnsi="Times New Roman"/>
                              <w:sz w:val="24"/>
                              <w:lang w:val="fr-CA"/>
                            </w:rPr>
                            <w:fldChar w:fldCharType="separate"/>
                          </w:r>
                          <w:r>
                            <w:rPr>
                              <w:rFonts w:ascii="Times New Roman" w:hAnsi="Times New Roman"/>
                              <w:sz w:val="24"/>
                              <w:lang w:val="fr-CA"/>
                            </w:rPr>
                            <w:t>25</w:t>
                          </w:r>
                          <w:r>
                            <w:rPr>
                              <w:rFonts w:ascii="Times New Roman" w:hAnsi="Times New Roman"/>
                              <w:sz w:val="24"/>
                              <w:lang w:val="fr-CA"/>
                            </w:rPr>
                            <w:fldChar w:fldCharType="end"/>
                          </w:r>
                        </w:p>
                      </w:txbxContent>
                    </wps:txbx>
                    <wps:bodyPr wrap="square" lIns="0" tIns="0" rIns="0" bIns="0" rtlCol="0"/>
                  </wps:wsp>
                </a:graphicData>
              </a:graphic>
            </wp:anchor>
          </w:drawing>
        </mc:Choice>
        <mc:Fallback>
          <w:pict>
            <v:shapetype w14:anchorId="6FEEFF1B" id="_x0000_t202" coordsize="21600,21600" o:spt="202" path="m,l,21600r21600,l21600,xe">
              <v:stroke joinstyle="miter"/>
              <v:path gradientshapeok="t" o:connecttype="rect"/>
            </v:shapetype>
            <v:shape id="Textbox 2" o:spid="_x0000_s1026" type="#_x0000_t202" style="position:absolute;margin-left:299pt;margin-top:727.5pt;width:14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" filled="f" stroked="f">
              <v:textbox inset="0,0,0,0">
                <w:txbxContent>
                  <w:p w14:paraId="0EB90ECA" w14:textId="77777777" w:rsidR="00023F99" w:rsidRDefault="00523346">
                    <w:pPr>
                      <w:spacing w:before="10"/>
                      <w:ind w:left="20"/>
                      <w:rPr>
                        <w:rFonts w:ascii="Times New Roman"/>
                        <w:sz w:val="24"/>
                      </w:rPr>
                    </w:pPr>
                    <w:r>
                      <w:rPr>
                        <w:rFonts w:ascii="Times New Roman" w:hAnsi="Times New Roman"/>
                        <w:sz w:val="24"/>
                        <w:lang w:val="fr-CA"/>
                      </w:rPr>
                      <w:fldChar w:fldCharType="begin"/>
                    </w:r>
                    <w:r>
                      <w:rPr>
                        <w:rFonts w:ascii="Times New Roman" w:hAnsi="Times New Roman"/>
                        <w:sz w:val="24"/>
                        <w:lang w:val="fr-CA"/>
                      </w:rPr>
                      <w:instrText xml:space="preserve"> PAGE </w:instrText>
                    </w:r>
                    <w:r>
                      <w:rPr>
                        <w:rFonts w:ascii="Times New Roman" w:hAnsi="Times New Roman"/>
                        <w:sz w:val="24"/>
                        <w:lang w:val="fr-CA"/>
                      </w:rPr>
                      <w:fldChar w:fldCharType="separate"/>
                    </w:r>
                    <w:r>
                      <w:rPr>
                        <w:rFonts w:ascii="Times New Roman" w:hAnsi="Times New Roman"/>
                        <w:sz w:val="24"/>
                        <w:lang w:val="fr-CA"/>
                      </w:rPr>
                      <w:t>25</w:t>
                    </w:r>
                    <w:r>
                      <w:rPr>
                        <w:rFonts w:ascii="Times New Roman" w:hAnsi="Times New Roman"/>
                        <w:sz w:val="24"/>
                        <w:lang w:val="fr-C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7A6D" w14:textId="77777777" w:rsidR="00BB2CD5" w:rsidRDefault="00BB2CD5">
      <w:r>
        <w:separator/>
      </w:r>
    </w:p>
  </w:footnote>
  <w:footnote w:type="continuationSeparator" w:id="0">
    <w:p w14:paraId="68B98BFE" w14:textId="77777777" w:rsidR="00BB2CD5" w:rsidRDefault="00BB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1188"/>
    <w:multiLevelType w:val="hybridMultilevel"/>
    <w:tmpl w:val="00000000"/>
    <w:lvl w:ilvl="0" w:tplc="F5B2694C">
      <w:start w:val="9"/>
      <w:numFmt w:val="lowerLetter"/>
      <w:lvlText w:val="(%1)"/>
      <w:lvlJc w:val="left"/>
      <w:pPr>
        <w:ind w:left="705" w:hanging="346"/>
      </w:pPr>
      <w:rPr>
        <w:rFonts w:ascii="Arial" w:eastAsia="Arial" w:hAnsi="Arial" w:cs="Arial" w:hint="default"/>
        <w:b/>
        <w:bCs/>
        <w:i w:val="0"/>
        <w:iCs w:val="0"/>
        <w:spacing w:val="0"/>
        <w:w w:val="100"/>
        <w:sz w:val="28"/>
        <w:szCs w:val="28"/>
        <w:lang w:val="en-US" w:eastAsia="en-US" w:bidi="ar-SA"/>
      </w:rPr>
    </w:lvl>
    <w:lvl w:ilvl="1" w:tplc="0E60CA84">
      <w:start w:val="1"/>
      <w:numFmt w:val="lowerRoman"/>
      <w:lvlText w:val="(%2)"/>
      <w:lvlJc w:val="left"/>
      <w:pPr>
        <w:ind w:left="689" w:hanging="329"/>
      </w:pPr>
      <w:rPr>
        <w:rFonts w:ascii="Arial" w:eastAsia="Arial" w:hAnsi="Arial" w:cs="Arial" w:hint="default"/>
        <w:b w:val="0"/>
        <w:bCs w:val="0"/>
        <w:i w:val="0"/>
        <w:iCs w:val="0"/>
        <w:spacing w:val="0"/>
        <w:w w:val="100"/>
        <w:sz w:val="28"/>
        <w:szCs w:val="28"/>
        <w:lang w:val="en-US" w:eastAsia="en-US" w:bidi="ar-SA"/>
      </w:rPr>
    </w:lvl>
    <w:lvl w:ilvl="2" w:tplc="E7C2BDC8">
      <w:numFmt w:val="bullet"/>
      <w:lvlText w:val=""/>
      <w:lvlJc w:val="left"/>
      <w:pPr>
        <w:ind w:left="1081" w:hanging="361"/>
      </w:pPr>
      <w:rPr>
        <w:rFonts w:ascii="Symbol" w:eastAsia="Symbol" w:hAnsi="Symbol" w:cs="Symbol" w:hint="default"/>
        <w:b w:val="0"/>
        <w:bCs w:val="0"/>
        <w:i w:val="0"/>
        <w:iCs w:val="0"/>
        <w:spacing w:val="0"/>
        <w:w w:val="100"/>
        <w:sz w:val="28"/>
        <w:szCs w:val="28"/>
        <w:lang w:val="en-US" w:eastAsia="en-US" w:bidi="ar-SA"/>
      </w:rPr>
    </w:lvl>
    <w:lvl w:ilvl="3" w:tplc="482AC468">
      <w:numFmt w:val="bullet"/>
      <w:lvlText w:val="•"/>
      <w:lvlJc w:val="left"/>
      <w:pPr>
        <w:ind w:left="2205" w:hanging="361"/>
      </w:pPr>
      <w:rPr>
        <w:rFonts w:hint="default"/>
        <w:lang w:val="en-US" w:eastAsia="en-US" w:bidi="ar-SA"/>
      </w:rPr>
    </w:lvl>
    <w:lvl w:ilvl="4" w:tplc="6A0A5A90">
      <w:numFmt w:val="bullet"/>
      <w:lvlText w:val="•"/>
      <w:lvlJc w:val="left"/>
      <w:pPr>
        <w:ind w:left="3330" w:hanging="361"/>
      </w:pPr>
      <w:rPr>
        <w:rFonts w:hint="default"/>
        <w:lang w:val="en-US" w:eastAsia="en-US" w:bidi="ar-SA"/>
      </w:rPr>
    </w:lvl>
    <w:lvl w:ilvl="5" w:tplc="B6544682">
      <w:numFmt w:val="bullet"/>
      <w:lvlText w:val="•"/>
      <w:lvlJc w:val="left"/>
      <w:pPr>
        <w:ind w:left="4455" w:hanging="361"/>
      </w:pPr>
      <w:rPr>
        <w:rFonts w:hint="default"/>
        <w:lang w:val="en-US" w:eastAsia="en-US" w:bidi="ar-SA"/>
      </w:rPr>
    </w:lvl>
    <w:lvl w:ilvl="6" w:tplc="7EA2B130">
      <w:numFmt w:val="bullet"/>
      <w:lvlText w:val="•"/>
      <w:lvlJc w:val="left"/>
      <w:pPr>
        <w:ind w:left="5580" w:hanging="361"/>
      </w:pPr>
      <w:rPr>
        <w:rFonts w:hint="default"/>
        <w:lang w:val="en-US" w:eastAsia="en-US" w:bidi="ar-SA"/>
      </w:rPr>
    </w:lvl>
    <w:lvl w:ilvl="7" w:tplc="FEA8F7E2">
      <w:numFmt w:val="bullet"/>
      <w:lvlText w:val="•"/>
      <w:lvlJc w:val="left"/>
      <w:pPr>
        <w:ind w:left="6705" w:hanging="361"/>
      </w:pPr>
      <w:rPr>
        <w:rFonts w:hint="default"/>
        <w:lang w:val="en-US" w:eastAsia="en-US" w:bidi="ar-SA"/>
      </w:rPr>
    </w:lvl>
    <w:lvl w:ilvl="8" w:tplc="34C02686">
      <w:numFmt w:val="bullet"/>
      <w:lvlText w:val="•"/>
      <w:lvlJc w:val="left"/>
      <w:pPr>
        <w:ind w:left="7830" w:hanging="361"/>
      </w:pPr>
      <w:rPr>
        <w:rFonts w:hint="default"/>
        <w:lang w:val="en-US" w:eastAsia="en-US" w:bidi="ar-SA"/>
      </w:rPr>
    </w:lvl>
  </w:abstractNum>
  <w:abstractNum w:abstractNumId="1" w15:restartNumberingAfterBreak="0">
    <w:nsid w:val="33D72C2C"/>
    <w:multiLevelType w:val="hybridMultilevel"/>
    <w:tmpl w:val="00000000"/>
    <w:lvl w:ilvl="0" w:tplc="88968DA2">
      <w:start w:val="1"/>
      <w:numFmt w:val="decimal"/>
      <w:lvlText w:val="%1."/>
      <w:lvlJc w:val="left"/>
      <w:pPr>
        <w:ind w:left="674" w:hanging="315"/>
      </w:pPr>
      <w:rPr>
        <w:rFonts w:ascii="Arial" w:eastAsia="Arial" w:hAnsi="Arial" w:cs="Arial" w:hint="default"/>
        <w:b/>
        <w:bCs/>
        <w:i w:val="0"/>
        <w:iCs w:val="0"/>
        <w:spacing w:val="0"/>
        <w:w w:val="100"/>
        <w:sz w:val="28"/>
        <w:szCs w:val="28"/>
        <w:lang w:val="en-US" w:eastAsia="en-US" w:bidi="ar-SA"/>
      </w:rPr>
    </w:lvl>
    <w:lvl w:ilvl="1" w:tplc="F7504E92">
      <w:start w:val="1"/>
      <w:numFmt w:val="lowerLetter"/>
      <w:lvlText w:val="(%2)"/>
      <w:lvlJc w:val="left"/>
      <w:pPr>
        <w:ind w:left="1504" w:hanging="425"/>
      </w:pPr>
      <w:rPr>
        <w:rFonts w:ascii="Arial" w:eastAsia="Arial" w:hAnsi="Arial" w:cs="Arial" w:hint="default"/>
        <w:b/>
        <w:bCs/>
        <w:i w:val="0"/>
        <w:iCs w:val="0"/>
        <w:spacing w:val="-1"/>
        <w:w w:val="100"/>
        <w:sz w:val="28"/>
        <w:szCs w:val="28"/>
        <w:lang w:val="en-US" w:eastAsia="en-US" w:bidi="ar-SA"/>
      </w:rPr>
    </w:lvl>
    <w:lvl w:ilvl="2" w:tplc="9E6AB608">
      <w:numFmt w:val="bullet"/>
      <w:lvlText w:val="•"/>
      <w:lvlJc w:val="left"/>
      <w:pPr>
        <w:ind w:left="2453" w:hanging="425"/>
      </w:pPr>
      <w:rPr>
        <w:rFonts w:hint="default"/>
        <w:lang w:val="en-US" w:eastAsia="en-US" w:bidi="ar-SA"/>
      </w:rPr>
    </w:lvl>
    <w:lvl w:ilvl="3" w:tplc="D4C2D4F8">
      <w:numFmt w:val="bullet"/>
      <w:lvlText w:val="•"/>
      <w:lvlJc w:val="left"/>
      <w:pPr>
        <w:ind w:left="3406" w:hanging="425"/>
      </w:pPr>
      <w:rPr>
        <w:rFonts w:hint="default"/>
        <w:lang w:val="en-US" w:eastAsia="en-US" w:bidi="ar-SA"/>
      </w:rPr>
    </w:lvl>
    <w:lvl w:ilvl="4" w:tplc="E5C8B7B4">
      <w:numFmt w:val="bullet"/>
      <w:lvlText w:val="•"/>
      <w:lvlJc w:val="left"/>
      <w:pPr>
        <w:ind w:left="4360" w:hanging="425"/>
      </w:pPr>
      <w:rPr>
        <w:rFonts w:hint="default"/>
        <w:lang w:val="en-US" w:eastAsia="en-US" w:bidi="ar-SA"/>
      </w:rPr>
    </w:lvl>
    <w:lvl w:ilvl="5" w:tplc="21681836">
      <w:numFmt w:val="bullet"/>
      <w:lvlText w:val="•"/>
      <w:lvlJc w:val="left"/>
      <w:pPr>
        <w:ind w:left="5313" w:hanging="425"/>
      </w:pPr>
      <w:rPr>
        <w:rFonts w:hint="default"/>
        <w:lang w:val="en-US" w:eastAsia="en-US" w:bidi="ar-SA"/>
      </w:rPr>
    </w:lvl>
    <w:lvl w:ilvl="6" w:tplc="4EE0373A">
      <w:numFmt w:val="bullet"/>
      <w:lvlText w:val="•"/>
      <w:lvlJc w:val="left"/>
      <w:pPr>
        <w:ind w:left="6266" w:hanging="425"/>
      </w:pPr>
      <w:rPr>
        <w:rFonts w:hint="default"/>
        <w:lang w:val="en-US" w:eastAsia="en-US" w:bidi="ar-SA"/>
      </w:rPr>
    </w:lvl>
    <w:lvl w:ilvl="7" w:tplc="33C0BE14">
      <w:numFmt w:val="bullet"/>
      <w:lvlText w:val="•"/>
      <w:lvlJc w:val="left"/>
      <w:pPr>
        <w:ind w:left="7220" w:hanging="425"/>
      </w:pPr>
      <w:rPr>
        <w:rFonts w:hint="default"/>
        <w:lang w:val="en-US" w:eastAsia="en-US" w:bidi="ar-SA"/>
      </w:rPr>
    </w:lvl>
    <w:lvl w:ilvl="8" w:tplc="A9A22DA8">
      <w:numFmt w:val="bullet"/>
      <w:lvlText w:val="•"/>
      <w:lvlJc w:val="left"/>
      <w:pPr>
        <w:ind w:left="8173" w:hanging="425"/>
      </w:pPr>
      <w:rPr>
        <w:rFonts w:hint="default"/>
        <w:lang w:val="en-US" w:eastAsia="en-US" w:bidi="ar-SA"/>
      </w:rPr>
    </w:lvl>
  </w:abstractNum>
  <w:abstractNum w:abstractNumId="2" w15:restartNumberingAfterBreak="0">
    <w:nsid w:val="3424FF57"/>
    <w:multiLevelType w:val="hybridMultilevel"/>
    <w:tmpl w:val="00000000"/>
    <w:lvl w:ilvl="0" w:tplc="38209E12">
      <w:start w:val="2"/>
      <w:numFmt w:val="lowerRoman"/>
      <w:lvlText w:val="(%1)"/>
      <w:lvlJc w:val="left"/>
      <w:pPr>
        <w:ind w:left="753" w:hanging="392"/>
      </w:pPr>
      <w:rPr>
        <w:rFonts w:ascii="Arial" w:eastAsia="Arial" w:hAnsi="Arial" w:cs="Arial" w:hint="default"/>
        <w:b w:val="0"/>
        <w:bCs w:val="0"/>
        <w:i w:val="0"/>
        <w:iCs w:val="0"/>
        <w:spacing w:val="0"/>
        <w:w w:val="100"/>
        <w:sz w:val="28"/>
        <w:szCs w:val="28"/>
        <w:lang w:val="en-US" w:eastAsia="en-US" w:bidi="ar-SA"/>
      </w:rPr>
    </w:lvl>
    <w:lvl w:ilvl="1" w:tplc="8FE48E74">
      <w:numFmt w:val="bullet"/>
      <w:lvlText w:val="•"/>
      <w:lvlJc w:val="left"/>
      <w:pPr>
        <w:ind w:left="1692" w:hanging="392"/>
      </w:pPr>
      <w:rPr>
        <w:rFonts w:hint="default"/>
        <w:lang w:val="en-US" w:eastAsia="en-US" w:bidi="ar-SA"/>
      </w:rPr>
    </w:lvl>
    <w:lvl w:ilvl="2" w:tplc="A3E04456">
      <w:numFmt w:val="bullet"/>
      <w:lvlText w:val="•"/>
      <w:lvlJc w:val="left"/>
      <w:pPr>
        <w:ind w:left="2624" w:hanging="392"/>
      </w:pPr>
      <w:rPr>
        <w:rFonts w:hint="default"/>
        <w:lang w:val="en-US" w:eastAsia="en-US" w:bidi="ar-SA"/>
      </w:rPr>
    </w:lvl>
    <w:lvl w:ilvl="3" w:tplc="2BB06FC0">
      <w:numFmt w:val="bullet"/>
      <w:lvlText w:val="•"/>
      <w:lvlJc w:val="left"/>
      <w:pPr>
        <w:ind w:left="3556" w:hanging="392"/>
      </w:pPr>
      <w:rPr>
        <w:rFonts w:hint="default"/>
        <w:lang w:val="en-US" w:eastAsia="en-US" w:bidi="ar-SA"/>
      </w:rPr>
    </w:lvl>
    <w:lvl w:ilvl="4" w:tplc="BBFC4304">
      <w:numFmt w:val="bullet"/>
      <w:lvlText w:val="•"/>
      <w:lvlJc w:val="left"/>
      <w:pPr>
        <w:ind w:left="4488" w:hanging="392"/>
      </w:pPr>
      <w:rPr>
        <w:rFonts w:hint="default"/>
        <w:lang w:val="en-US" w:eastAsia="en-US" w:bidi="ar-SA"/>
      </w:rPr>
    </w:lvl>
    <w:lvl w:ilvl="5" w:tplc="7EE20D12">
      <w:numFmt w:val="bullet"/>
      <w:lvlText w:val="•"/>
      <w:lvlJc w:val="left"/>
      <w:pPr>
        <w:ind w:left="5420" w:hanging="392"/>
      </w:pPr>
      <w:rPr>
        <w:rFonts w:hint="default"/>
        <w:lang w:val="en-US" w:eastAsia="en-US" w:bidi="ar-SA"/>
      </w:rPr>
    </w:lvl>
    <w:lvl w:ilvl="6" w:tplc="AA806680">
      <w:numFmt w:val="bullet"/>
      <w:lvlText w:val="•"/>
      <w:lvlJc w:val="left"/>
      <w:pPr>
        <w:ind w:left="6352" w:hanging="392"/>
      </w:pPr>
      <w:rPr>
        <w:rFonts w:hint="default"/>
        <w:lang w:val="en-US" w:eastAsia="en-US" w:bidi="ar-SA"/>
      </w:rPr>
    </w:lvl>
    <w:lvl w:ilvl="7" w:tplc="DDBE6470">
      <w:numFmt w:val="bullet"/>
      <w:lvlText w:val="•"/>
      <w:lvlJc w:val="left"/>
      <w:pPr>
        <w:ind w:left="7284" w:hanging="392"/>
      </w:pPr>
      <w:rPr>
        <w:rFonts w:hint="default"/>
        <w:lang w:val="en-US" w:eastAsia="en-US" w:bidi="ar-SA"/>
      </w:rPr>
    </w:lvl>
    <w:lvl w:ilvl="8" w:tplc="A934CD28">
      <w:numFmt w:val="bullet"/>
      <w:lvlText w:val="•"/>
      <w:lvlJc w:val="left"/>
      <w:pPr>
        <w:ind w:left="8216" w:hanging="392"/>
      </w:pPr>
      <w:rPr>
        <w:rFonts w:hint="default"/>
        <w:lang w:val="en-US" w:eastAsia="en-US" w:bidi="ar-SA"/>
      </w:rPr>
    </w:lvl>
  </w:abstractNum>
  <w:abstractNum w:abstractNumId="3" w15:restartNumberingAfterBreak="0">
    <w:nsid w:val="3D600459"/>
    <w:multiLevelType w:val="hybridMultilevel"/>
    <w:tmpl w:val="00000000"/>
    <w:lvl w:ilvl="0" w:tplc="144E30B2">
      <w:start w:val="3"/>
      <w:numFmt w:val="decimal"/>
      <w:lvlText w:val="%1."/>
      <w:lvlJc w:val="left"/>
      <w:pPr>
        <w:ind w:left="674" w:hanging="315"/>
      </w:pPr>
      <w:rPr>
        <w:rFonts w:ascii="Arial" w:eastAsia="Arial" w:hAnsi="Arial" w:cs="Arial" w:hint="default"/>
        <w:b/>
        <w:bCs/>
        <w:i w:val="0"/>
        <w:iCs w:val="0"/>
        <w:spacing w:val="0"/>
        <w:w w:val="100"/>
        <w:sz w:val="28"/>
        <w:szCs w:val="28"/>
        <w:lang w:val="en-US" w:eastAsia="en-US" w:bidi="ar-SA"/>
      </w:rPr>
    </w:lvl>
    <w:lvl w:ilvl="1" w:tplc="99445C0E">
      <w:start w:val="1"/>
      <w:numFmt w:val="lowerLetter"/>
      <w:lvlText w:val="(%2)"/>
      <w:lvlJc w:val="left"/>
      <w:pPr>
        <w:ind w:left="1504" w:hanging="425"/>
      </w:pPr>
      <w:rPr>
        <w:rFonts w:ascii="Arial" w:eastAsia="Arial" w:hAnsi="Arial" w:cs="Arial" w:hint="default"/>
        <w:b/>
        <w:bCs/>
        <w:i w:val="0"/>
        <w:iCs w:val="0"/>
        <w:spacing w:val="-1"/>
        <w:w w:val="100"/>
        <w:sz w:val="28"/>
        <w:szCs w:val="28"/>
        <w:lang w:val="en-US" w:eastAsia="en-US" w:bidi="ar-SA"/>
      </w:rPr>
    </w:lvl>
    <w:lvl w:ilvl="2" w:tplc="DD021F6C">
      <w:start w:val="1"/>
      <w:numFmt w:val="lowerRoman"/>
      <w:lvlText w:val="(%3)"/>
      <w:lvlJc w:val="left"/>
      <w:pPr>
        <w:ind w:left="1425" w:hanging="346"/>
      </w:pPr>
      <w:rPr>
        <w:rFonts w:hint="default"/>
        <w:spacing w:val="0"/>
        <w:w w:val="100"/>
        <w:lang w:val="en-US" w:eastAsia="en-US" w:bidi="ar-SA"/>
      </w:rPr>
    </w:lvl>
    <w:lvl w:ilvl="3" w:tplc="F6DAD4A6">
      <w:start w:val="1"/>
      <w:numFmt w:val="lowerRoman"/>
      <w:lvlText w:val="(%4)"/>
      <w:lvlJc w:val="left"/>
      <w:pPr>
        <w:ind w:left="2128" w:hanging="329"/>
      </w:pPr>
      <w:rPr>
        <w:rFonts w:ascii="Arial" w:eastAsia="Arial" w:hAnsi="Arial" w:cs="Arial" w:hint="default"/>
        <w:b w:val="0"/>
        <w:bCs w:val="0"/>
        <w:i w:val="0"/>
        <w:iCs w:val="0"/>
        <w:spacing w:val="0"/>
        <w:w w:val="100"/>
        <w:sz w:val="28"/>
        <w:szCs w:val="28"/>
        <w:lang w:val="en-US" w:eastAsia="en-US" w:bidi="ar-SA"/>
      </w:rPr>
    </w:lvl>
    <w:lvl w:ilvl="4" w:tplc="A0AA2568">
      <w:numFmt w:val="bullet"/>
      <w:lvlText w:val="•"/>
      <w:lvlJc w:val="left"/>
      <w:pPr>
        <w:ind w:left="3257" w:hanging="329"/>
      </w:pPr>
      <w:rPr>
        <w:rFonts w:hint="default"/>
        <w:lang w:val="en-US" w:eastAsia="en-US" w:bidi="ar-SA"/>
      </w:rPr>
    </w:lvl>
    <w:lvl w:ilvl="5" w:tplc="86701AD6">
      <w:numFmt w:val="bullet"/>
      <w:lvlText w:val="•"/>
      <w:lvlJc w:val="left"/>
      <w:pPr>
        <w:ind w:left="4394" w:hanging="329"/>
      </w:pPr>
      <w:rPr>
        <w:rFonts w:hint="default"/>
        <w:lang w:val="en-US" w:eastAsia="en-US" w:bidi="ar-SA"/>
      </w:rPr>
    </w:lvl>
    <w:lvl w:ilvl="6" w:tplc="C4B00D14">
      <w:numFmt w:val="bullet"/>
      <w:lvlText w:val="•"/>
      <w:lvlJc w:val="left"/>
      <w:pPr>
        <w:ind w:left="5531" w:hanging="329"/>
      </w:pPr>
      <w:rPr>
        <w:rFonts w:hint="default"/>
        <w:lang w:val="en-US" w:eastAsia="en-US" w:bidi="ar-SA"/>
      </w:rPr>
    </w:lvl>
    <w:lvl w:ilvl="7" w:tplc="0ED696BC">
      <w:numFmt w:val="bullet"/>
      <w:lvlText w:val="•"/>
      <w:lvlJc w:val="left"/>
      <w:pPr>
        <w:ind w:left="6668" w:hanging="329"/>
      </w:pPr>
      <w:rPr>
        <w:rFonts w:hint="default"/>
        <w:lang w:val="en-US" w:eastAsia="en-US" w:bidi="ar-SA"/>
      </w:rPr>
    </w:lvl>
    <w:lvl w:ilvl="8" w:tplc="215655F2">
      <w:numFmt w:val="bullet"/>
      <w:lvlText w:val="•"/>
      <w:lvlJc w:val="left"/>
      <w:pPr>
        <w:ind w:left="7805" w:hanging="329"/>
      </w:pPr>
      <w:rPr>
        <w:rFonts w:hint="default"/>
        <w:lang w:val="en-US" w:eastAsia="en-US" w:bidi="ar-SA"/>
      </w:rPr>
    </w:lvl>
  </w:abstractNum>
  <w:abstractNum w:abstractNumId="4" w15:restartNumberingAfterBreak="0">
    <w:nsid w:val="3D86C9AB"/>
    <w:multiLevelType w:val="hybridMultilevel"/>
    <w:tmpl w:val="00000000"/>
    <w:lvl w:ilvl="0" w:tplc="CD68AD22">
      <w:numFmt w:val="bullet"/>
      <w:lvlText w:val=""/>
      <w:lvlJc w:val="left"/>
      <w:pPr>
        <w:ind w:left="1064" w:hanging="721"/>
      </w:pPr>
      <w:rPr>
        <w:rFonts w:ascii="Symbol" w:eastAsia="Symbol" w:hAnsi="Symbol" w:cs="Symbol" w:hint="default"/>
        <w:b w:val="0"/>
        <w:bCs w:val="0"/>
        <w:i w:val="0"/>
        <w:iCs w:val="0"/>
        <w:spacing w:val="0"/>
        <w:w w:val="100"/>
        <w:sz w:val="28"/>
        <w:szCs w:val="28"/>
        <w:lang w:val="en-US" w:eastAsia="en-US" w:bidi="ar-SA"/>
      </w:rPr>
    </w:lvl>
    <w:lvl w:ilvl="1" w:tplc="A55A01B6">
      <w:numFmt w:val="bullet"/>
      <w:lvlText w:val="•"/>
      <w:lvlJc w:val="left"/>
      <w:pPr>
        <w:ind w:left="1962" w:hanging="721"/>
      </w:pPr>
      <w:rPr>
        <w:rFonts w:hint="default"/>
        <w:lang w:val="en-US" w:eastAsia="en-US" w:bidi="ar-SA"/>
      </w:rPr>
    </w:lvl>
    <w:lvl w:ilvl="2" w:tplc="F2F68156">
      <w:numFmt w:val="bullet"/>
      <w:lvlText w:val="•"/>
      <w:lvlJc w:val="left"/>
      <w:pPr>
        <w:ind w:left="2864" w:hanging="721"/>
      </w:pPr>
      <w:rPr>
        <w:rFonts w:hint="default"/>
        <w:lang w:val="en-US" w:eastAsia="en-US" w:bidi="ar-SA"/>
      </w:rPr>
    </w:lvl>
    <w:lvl w:ilvl="3" w:tplc="68CA7414">
      <w:numFmt w:val="bullet"/>
      <w:lvlText w:val="•"/>
      <w:lvlJc w:val="left"/>
      <w:pPr>
        <w:ind w:left="3766" w:hanging="721"/>
      </w:pPr>
      <w:rPr>
        <w:rFonts w:hint="default"/>
        <w:lang w:val="en-US" w:eastAsia="en-US" w:bidi="ar-SA"/>
      </w:rPr>
    </w:lvl>
    <w:lvl w:ilvl="4" w:tplc="9F809850">
      <w:numFmt w:val="bullet"/>
      <w:lvlText w:val="•"/>
      <w:lvlJc w:val="left"/>
      <w:pPr>
        <w:ind w:left="4668" w:hanging="721"/>
      </w:pPr>
      <w:rPr>
        <w:rFonts w:hint="default"/>
        <w:lang w:val="en-US" w:eastAsia="en-US" w:bidi="ar-SA"/>
      </w:rPr>
    </w:lvl>
    <w:lvl w:ilvl="5" w:tplc="BD0AE208">
      <w:numFmt w:val="bullet"/>
      <w:lvlText w:val="•"/>
      <w:lvlJc w:val="left"/>
      <w:pPr>
        <w:ind w:left="5570" w:hanging="721"/>
      </w:pPr>
      <w:rPr>
        <w:rFonts w:hint="default"/>
        <w:lang w:val="en-US" w:eastAsia="en-US" w:bidi="ar-SA"/>
      </w:rPr>
    </w:lvl>
    <w:lvl w:ilvl="6" w:tplc="E13C40C0">
      <w:numFmt w:val="bullet"/>
      <w:lvlText w:val="•"/>
      <w:lvlJc w:val="left"/>
      <w:pPr>
        <w:ind w:left="6472" w:hanging="721"/>
      </w:pPr>
      <w:rPr>
        <w:rFonts w:hint="default"/>
        <w:lang w:val="en-US" w:eastAsia="en-US" w:bidi="ar-SA"/>
      </w:rPr>
    </w:lvl>
    <w:lvl w:ilvl="7" w:tplc="55BA3A68">
      <w:numFmt w:val="bullet"/>
      <w:lvlText w:val="•"/>
      <w:lvlJc w:val="left"/>
      <w:pPr>
        <w:ind w:left="7374" w:hanging="721"/>
      </w:pPr>
      <w:rPr>
        <w:rFonts w:hint="default"/>
        <w:lang w:val="en-US" w:eastAsia="en-US" w:bidi="ar-SA"/>
      </w:rPr>
    </w:lvl>
    <w:lvl w:ilvl="8" w:tplc="F82AE764">
      <w:numFmt w:val="bullet"/>
      <w:lvlText w:val="•"/>
      <w:lvlJc w:val="left"/>
      <w:pPr>
        <w:ind w:left="8276" w:hanging="721"/>
      </w:pPr>
      <w:rPr>
        <w:rFonts w:hint="default"/>
        <w:lang w:val="en-US" w:eastAsia="en-US" w:bidi="ar-SA"/>
      </w:rPr>
    </w:lvl>
  </w:abstractNum>
  <w:abstractNum w:abstractNumId="5" w15:restartNumberingAfterBreak="0">
    <w:nsid w:val="4A8C27E5"/>
    <w:multiLevelType w:val="hybridMultilevel"/>
    <w:tmpl w:val="00000000"/>
    <w:lvl w:ilvl="0" w:tplc="164A7FCA">
      <w:start w:val="7"/>
      <w:numFmt w:val="lowerLetter"/>
      <w:lvlText w:val="(%1)"/>
      <w:lvlJc w:val="left"/>
      <w:pPr>
        <w:ind w:left="1516" w:hanging="437"/>
        <w:jc w:val="right"/>
      </w:pPr>
      <w:rPr>
        <w:rFonts w:hint="default"/>
        <w:spacing w:val="-2"/>
        <w:w w:val="100"/>
        <w:lang w:val="en-US" w:eastAsia="en-US" w:bidi="ar-SA"/>
      </w:rPr>
    </w:lvl>
    <w:lvl w:ilvl="1" w:tplc="00D2B9C4">
      <w:start w:val="1"/>
      <w:numFmt w:val="lowerRoman"/>
      <w:lvlText w:val="(%2)"/>
      <w:lvlJc w:val="left"/>
      <w:pPr>
        <w:ind w:left="2128" w:hanging="329"/>
      </w:pPr>
      <w:rPr>
        <w:rFonts w:ascii="Arial" w:eastAsia="Arial" w:hAnsi="Arial" w:cs="Arial" w:hint="default"/>
        <w:b w:val="0"/>
        <w:bCs w:val="0"/>
        <w:i w:val="0"/>
        <w:iCs w:val="0"/>
        <w:spacing w:val="0"/>
        <w:w w:val="100"/>
        <w:sz w:val="28"/>
        <w:szCs w:val="28"/>
        <w:lang w:val="en-US" w:eastAsia="en-US" w:bidi="ar-SA"/>
      </w:rPr>
    </w:lvl>
    <w:lvl w:ilvl="2" w:tplc="4742452E">
      <w:numFmt w:val="bullet"/>
      <w:lvlText w:val="•"/>
      <w:lvlJc w:val="left"/>
      <w:pPr>
        <w:ind w:left="3004" w:hanging="329"/>
      </w:pPr>
      <w:rPr>
        <w:rFonts w:hint="default"/>
        <w:lang w:val="en-US" w:eastAsia="en-US" w:bidi="ar-SA"/>
      </w:rPr>
    </w:lvl>
    <w:lvl w:ilvl="3" w:tplc="7D5EE030">
      <w:numFmt w:val="bullet"/>
      <w:lvlText w:val="•"/>
      <w:lvlJc w:val="left"/>
      <w:pPr>
        <w:ind w:left="3888" w:hanging="329"/>
      </w:pPr>
      <w:rPr>
        <w:rFonts w:hint="default"/>
        <w:lang w:val="en-US" w:eastAsia="en-US" w:bidi="ar-SA"/>
      </w:rPr>
    </w:lvl>
    <w:lvl w:ilvl="4" w:tplc="55FCF496">
      <w:numFmt w:val="bullet"/>
      <w:lvlText w:val="•"/>
      <w:lvlJc w:val="left"/>
      <w:pPr>
        <w:ind w:left="4773" w:hanging="329"/>
      </w:pPr>
      <w:rPr>
        <w:rFonts w:hint="default"/>
        <w:lang w:val="en-US" w:eastAsia="en-US" w:bidi="ar-SA"/>
      </w:rPr>
    </w:lvl>
    <w:lvl w:ilvl="5" w:tplc="CDFA789A">
      <w:numFmt w:val="bullet"/>
      <w:lvlText w:val="•"/>
      <w:lvlJc w:val="left"/>
      <w:pPr>
        <w:ind w:left="5657" w:hanging="329"/>
      </w:pPr>
      <w:rPr>
        <w:rFonts w:hint="default"/>
        <w:lang w:val="en-US" w:eastAsia="en-US" w:bidi="ar-SA"/>
      </w:rPr>
    </w:lvl>
    <w:lvl w:ilvl="6" w:tplc="359C0006">
      <w:numFmt w:val="bullet"/>
      <w:lvlText w:val="•"/>
      <w:lvlJc w:val="left"/>
      <w:pPr>
        <w:ind w:left="6542" w:hanging="329"/>
      </w:pPr>
      <w:rPr>
        <w:rFonts w:hint="default"/>
        <w:lang w:val="en-US" w:eastAsia="en-US" w:bidi="ar-SA"/>
      </w:rPr>
    </w:lvl>
    <w:lvl w:ilvl="7" w:tplc="22EAE50E">
      <w:numFmt w:val="bullet"/>
      <w:lvlText w:val="•"/>
      <w:lvlJc w:val="left"/>
      <w:pPr>
        <w:ind w:left="7426" w:hanging="329"/>
      </w:pPr>
      <w:rPr>
        <w:rFonts w:hint="default"/>
        <w:lang w:val="en-US" w:eastAsia="en-US" w:bidi="ar-SA"/>
      </w:rPr>
    </w:lvl>
    <w:lvl w:ilvl="8" w:tplc="D3C00706">
      <w:numFmt w:val="bullet"/>
      <w:lvlText w:val="•"/>
      <w:lvlJc w:val="left"/>
      <w:pPr>
        <w:ind w:left="8311" w:hanging="329"/>
      </w:pPr>
      <w:rPr>
        <w:rFonts w:hint="default"/>
        <w:lang w:val="en-US" w:eastAsia="en-US" w:bidi="ar-SA"/>
      </w:rPr>
    </w:lvl>
  </w:abstractNum>
  <w:abstractNum w:abstractNumId="6" w15:restartNumberingAfterBreak="0">
    <w:nsid w:val="52F7F92D"/>
    <w:multiLevelType w:val="hybridMultilevel"/>
    <w:tmpl w:val="00000000"/>
    <w:lvl w:ilvl="0" w:tplc="4282034E">
      <w:numFmt w:val="bullet"/>
      <w:lvlText w:val=""/>
      <w:lvlJc w:val="left"/>
      <w:pPr>
        <w:ind w:left="1140" w:hanging="721"/>
      </w:pPr>
      <w:rPr>
        <w:rFonts w:ascii="Symbol" w:eastAsia="Symbol" w:hAnsi="Symbol" w:cs="Symbol" w:hint="default"/>
        <w:b w:val="0"/>
        <w:bCs w:val="0"/>
        <w:i w:val="0"/>
        <w:iCs w:val="0"/>
        <w:spacing w:val="0"/>
        <w:w w:val="100"/>
        <w:sz w:val="28"/>
        <w:szCs w:val="28"/>
        <w:lang w:val="en-US" w:eastAsia="en-US" w:bidi="ar-SA"/>
      </w:rPr>
    </w:lvl>
    <w:lvl w:ilvl="1" w:tplc="38405D78">
      <w:numFmt w:val="bullet"/>
      <w:lvlText w:val="•"/>
      <w:lvlJc w:val="left"/>
      <w:pPr>
        <w:ind w:left="2034" w:hanging="721"/>
      </w:pPr>
      <w:rPr>
        <w:rFonts w:hint="default"/>
        <w:lang w:val="en-US" w:eastAsia="en-US" w:bidi="ar-SA"/>
      </w:rPr>
    </w:lvl>
    <w:lvl w:ilvl="2" w:tplc="4BD6B768">
      <w:numFmt w:val="bullet"/>
      <w:lvlText w:val="•"/>
      <w:lvlJc w:val="left"/>
      <w:pPr>
        <w:ind w:left="2928" w:hanging="721"/>
      </w:pPr>
      <w:rPr>
        <w:rFonts w:hint="default"/>
        <w:lang w:val="en-US" w:eastAsia="en-US" w:bidi="ar-SA"/>
      </w:rPr>
    </w:lvl>
    <w:lvl w:ilvl="3" w:tplc="B1F0BBE4">
      <w:numFmt w:val="bullet"/>
      <w:lvlText w:val="•"/>
      <w:lvlJc w:val="left"/>
      <w:pPr>
        <w:ind w:left="3822" w:hanging="721"/>
      </w:pPr>
      <w:rPr>
        <w:rFonts w:hint="default"/>
        <w:lang w:val="en-US" w:eastAsia="en-US" w:bidi="ar-SA"/>
      </w:rPr>
    </w:lvl>
    <w:lvl w:ilvl="4" w:tplc="A710C146">
      <w:numFmt w:val="bullet"/>
      <w:lvlText w:val="•"/>
      <w:lvlJc w:val="left"/>
      <w:pPr>
        <w:ind w:left="4716" w:hanging="721"/>
      </w:pPr>
      <w:rPr>
        <w:rFonts w:hint="default"/>
        <w:lang w:val="en-US" w:eastAsia="en-US" w:bidi="ar-SA"/>
      </w:rPr>
    </w:lvl>
    <w:lvl w:ilvl="5" w:tplc="23BA1F58">
      <w:numFmt w:val="bullet"/>
      <w:lvlText w:val="•"/>
      <w:lvlJc w:val="left"/>
      <w:pPr>
        <w:ind w:left="5610" w:hanging="721"/>
      </w:pPr>
      <w:rPr>
        <w:rFonts w:hint="default"/>
        <w:lang w:val="en-US" w:eastAsia="en-US" w:bidi="ar-SA"/>
      </w:rPr>
    </w:lvl>
    <w:lvl w:ilvl="6" w:tplc="D9508848">
      <w:numFmt w:val="bullet"/>
      <w:lvlText w:val="•"/>
      <w:lvlJc w:val="left"/>
      <w:pPr>
        <w:ind w:left="6504" w:hanging="721"/>
      </w:pPr>
      <w:rPr>
        <w:rFonts w:hint="default"/>
        <w:lang w:val="en-US" w:eastAsia="en-US" w:bidi="ar-SA"/>
      </w:rPr>
    </w:lvl>
    <w:lvl w:ilvl="7" w:tplc="D83CEEC2">
      <w:numFmt w:val="bullet"/>
      <w:lvlText w:val="•"/>
      <w:lvlJc w:val="left"/>
      <w:pPr>
        <w:ind w:left="7398" w:hanging="721"/>
      </w:pPr>
      <w:rPr>
        <w:rFonts w:hint="default"/>
        <w:lang w:val="en-US" w:eastAsia="en-US" w:bidi="ar-SA"/>
      </w:rPr>
    </w:lvl>
    <w:lvl w:ilvl="8" w:tplc="51B604E4">
      <w:numFmt w:val="bullet"/>
      <w:lvlText w:val="•"/>
      <w:lvlJc w:val="left"/>
      <w:pPr>
        <w:ind w:left="8292" w:hanging="721"/>
      </w:pPr>
      <w:rPr>
        <w:rFonts w:hint="default"/>
        <w:lang w:val="en-US" w:eastAsia="en-US" w:bidi="ar-SA"/>
      </w:rPr>
    </w:lvl>
  </w:abstractNum>
  <w:abstractNum w:abstractNumId="7" w15:restartNumberingAfterBreak="0">
    <w:nsid w:val="534B4E64"/>
    <w:multiLevelType w:val="hybridMultilevel"/>
    <w:tmpl w:val="00000000"/>
    <w:lvl w:ilvl="0" w:tplc="E3A85670">
      <w:start w:val="1"/>
      <w:numFmt w:val="lowerRoman"/>
      <w:lvlText w:val="(%1)"/>
      <w:lvlJc w:val="left"/>
      <w:pPr>
        <w:ind w:left="675" w:hanging="329"/>
      </w:pPr>
      <w:rPr>
        <w:rFonts w:ascii="Arial" w:eastAsia="Arial" w:hAnsi="Arial" w:cs="Arial" w:hint="default"/>
        <w:b w:val="0"/>
        <w:bCs w:val="0"/>
        <w:i w:val="0"/>
        <w:iCs w:val="0"/>
        <w:spacing w:val="0"/>
        <w:w w:val="100"/>
        <w:sz w:val="28"/>
        <w:szCs w:val="28"/>
        <w:lang w:val="en-US" w:eastAsia="en-US" w:bidi="ar-SA"/>
      </w:rPr>
    </w:lvl>
    <w:lvl w:ilvl="1" w:tplc="58EE3BD2">
      <w:numFmt w:val="bullet"/>
      <w:lvlText w:val="•"/>
      <w:lvlJc w:val="left"/>
      <w:pPr>
        <w:ind w:left="1620" w:hanging="329"/>
      </w:pPr>
      <w:rPr>
        <w:rFonts w:hint="default"/>
        <w:lang w:val="en-US" w:eastAsia="en-US" w:bidi="ar-SA"/>
      </w:rPr>
    </w:lvl>
    <w:lvl w:ilvl="2" w:tplc="5E344E10">
      <w:numFmt w:val="bullet"/>
      <w:lvlText w:val="•"/>
      <w:lvlJc w:val="left"/>
      <w:pPr>
        <w:ind w:left="2560" w:hanging="329"/>
      </w:pPr>
      <w:rPr>
        <w:rFonts w:hint="default"/>
        <w:lang w:val="en-US" w:eastAsia="en-US" w:bidi="ar-SA"/>
      </w:rPr>
    </w:lvl>
    <w:lvl w:ilvl="3" w:tplc="485A1B4C">
      <w:numFmt w:val="bullet"/>
      <w:lvlText w:val="•"/>
      <w:lvlJc w:val="left"/>
      <w:pPr>
        <w:ind w:left="3500" w:hanging="329"/>
      </w:pPr>
      <w:rPr>
        <w:rFonts w:hint="default"/>
        <w:lang w:val="en-US" w:eastAsia="en-US" w:bidi="ar-SA"/>
      </w:rPr>
    </w:lvl>
    <w:lvl w:ilvl="4" w:tplc="A238CAE2">
      <w:numFmt w:val="bullet"/>
      <w:lvlText w:val="•"/>
      <w:lvlJc w:val="left"/>
      <w:pPr>
        <w:ind w:left="4440" w:hanging="329"/>
      </w:pPr>
      <w:rPr>
        <w:rFonts w:hint="default"/>
        <w:lang w:val="en-US" w:eastAsia="en-US" w:bidi="ar-SA"/>
      </w:rPr>
    </w:lvl>
    <w:lvl w:ilvl="5" w:tplc="DF0EAF8A">
      <w:numFmt w:val="bullet"/>
      <w:lvlText w:val="•"/>
      <w:lvlJc w:val="left"/>
      <w:pPr>
        <w:ind w:left="5380" w:hanging="329"/>
      </w:pPr>
      <w:rPr>
        <w:rFonts w:hint="default"/>
        <w:lang w:val="en-US" w:eastAsia="en-US" w:bidi="ar-SA"/>
      </w:rPr>
    </w:lvl>
    <w:lvl w:ilvl="6" w:tplc="E4E83632">
      <w:numFmt w:val="bullet"/>
      <w:lvlText w:val="•"/>
      <w:lvlJc w:val="left"/>
      <w:pPr>
        <w:ind w:left="6320" w:hanging="329"/>
      </w:pPr>
      <w:rPr>
        <w:rFonts w:hint="default"/>
        <w:lang w:val="en-US" w:eastAsia="en-US" w:bidi="ar-SA"/>
      </w:rPr>
    </w:lvl>
    <w:lvl w:ilvl="7" w:tplc="8C3422C0">
      <w:numFmt w:val="bullet"/>
      <w:lvlText w:val="•"/>
      <w:lvlJc w:val="left"/>
      <w:pPr>
        <w:ind w:left="7260" w:hanging="329"/>
      </w:pPr>
      <w:rPr>
        <w:rFonts w:hint="default"/>
        <w:lang w:val="en-US" w:eastAsia="en-US" w:bidi="ar-SA"/>
      </w:rPr>
    </w:lvl>
    <w:lvl w:ilvl="8" w:tplc="80FCE19E">
      <w:numFmt w:val="bullet"/>
      <w:lvlText w:val="•"/>
      <w:lvlJc w:val="left"/>
      <w:pPr>
        <w:ind w:left="8200" w:hanging="329"/>
      </w:pPr>
      <w:rPr>
        <w:rFonts w:hint="default"/>
        <w:lang w:val="en-US" w:eastAsia="en-US" w:bidi="ar-SA"/>
      </w:rPr>
    </w:lvl>
  </w:abstractNum>
  <w:abstractNum w:abstractNumId="8" w15:restartNumberingAfterBreak="0">
    <w:nsid w:val="5A78C251"/>
    <w:multiLevelType w:val="hybridMultilevel"/>
    <w:tmpl w:val="00000000"/>
    <w:lvl w:ilvl="0" w:tplc="6E3A3BFC">
      <w:start w:val="3"/>
      <w:numFmt w:val="decimal"/>
      <w:lvlText w:val="%1."/>
      <w:lvlJc w:val="left"/>
      <w:pPr>
        <w:ind w:left="674" w:hanging="315"/>
      </w:pPr>
      <w:rPr>
        <w:rFonts w:ascii="Arial" w:eastAsia="Arial" w:hAnsi="Arial" w:cs="Arial" w:hint="default"/>
        <w:b/>
        <w:bCs/>
        <w:i w:val="0"/>
        <w:iCs w:val="0"/>
        <w:spacing w:val="0"/>
        <w:w w:val="91"/>
        <w:sz w:val="28"/>
        <w:szCs w:val="28"/>
        <w:u w:val="single" w:color="000000"/>
        <w:lang w:val="en-US" w:eastAsia="en-US" w:bidi="ar-SA"/>
      </w:rPr>
    </w:lvl>
    <w:lvl w:ilvl="1" w:tplc="BB4C017E">
      <w:start w:val="1"/>
      <w:numFmt w:val="lowerLetter"/>
      <w:lvlText w:val="(%2)"/>
      <w:lvlJc w:val="left"/>
      <w:pPr>
        <w:ind w:left="784" w:hanging="425"/>
        <w:jc w:val="right"/>
      </w:pPr>
      <w:rPr>
        <w:rFonts w:hint="default"/>
        <w:spacing w:val="0"/>
        <w:w w:val="100"/>
        <w:lang w:val="en-US" w:eastAsia="en-US" w:bidi="ar-SA"/>
      </w:rPr>
    </w:lvl>
    <w:lvl w:ilvl="2" w:tplc="ABD452D0">
      <w:start w:val="1"/>
      <w:numFmt w:val="lowerRoman"/>
      <w:lvlText w:val="(%3)"/>
      <w:lvlJc w:val="left"/>
      <w:pPr>
        <w:ind w:left="688" w:hanging="329"/>
      </w:pPr>
      <w:rPr>
        <w:rFonts w:ascii="Arial" w:eastAsia="Arial" w:hAnsi="Arial" w:cs="Arial" w:hint="default"/>
        <w:b w:val="0"/>
        <w:bCs w:val="0"/>
        <w:i w:val="0"/>
        <w:iCs w:val="0"/>
        <w:spacing w:val="-1"/>
        <w:w w:val="100"/>
        <w:sz w:val="28"/>
        <w:szCs w:val="28"/>
        <w:lang w:val="en-US" w:eastAsia="en-US" w:bidi="ar-SA"/>
      </w:rPr>
    </w:lvl>
    <w:lvl w:ilvl="3" w:tplc="56BAAB30">
      <w:numFmt w:val="bullet"/>
      <w:lvlText w:val="•"/>
      <w:lvlJc w:val="left"/>
      <w:pPr>
        <w:ind w:left="2846" w:hanging="329"/>
      </w:pPr>
      <w:rPr>
        <w:rFonts w:hint="default"/>
        <w:lang w:val="en-US" w:eastAsia="en-US" w:bidi="ar-SA"/>
      </w:rPr>
    </w:lvl>
    <w:lvl w:ilvl="4" w:tplc="F6607370">
      <w:numFmt w:val="bullet"/>
      <w:lvlText w:val="•"/>
      <w:lvlJc w:val="left"/>
      <w:pPr>
        <w:ind w:left="3880" w:hanging="329"/>
      </w:pPr>
      <w:rPr>
        <w:rFonts w:hint="default"/>
        <w:lang w:val="en-US" w:eastAsia="en-US" w:bidi="ar-SA"/>
      </w:rPr>
    </w:lvl>
    <w:lvl w:ilvl="5" w:tplc="344257F0">
      <w:numFmt w:val="bullet"/>
      <w:lvlText w:val="•"/>
      <w:lvlJc w:val="left"/>
      <w:pPr>
        <w:ind w:left="4913" w:hanging="329"/>
      </w:pPr>
      <w:rPr>
        <w:rFonts w:hint="default"/>
        <w:lang w:val="en-US" w:eastAsia="en-US" w:bidi="ar-SA"/>
      </w:rPr>
    </w:lvl>
    <w:lvl w:ilvl="6" w:tplc="165A03EE">
      <w:numFmt w:val="bullet"/>
      <w:lvlText w:val="•"/>
      <w:lvlJc w:val="left"/>
      <w:pPr>
        <w:ind w:left="5946" w:hanging="329"/>
      </w:pPr>
      <w:rPr>
        <w:rFonts w:hint="default"/>
        <w:lang w:val="en-US" w:eastAsia="en-US" w:bidi="ar-SA"/>
      </w:rPr>
    </w:lvl>
    <w:lvl w:ilvl="7" w:tplc="123A76AE">
      <w:numFmt w:val="bullet"/>
      <w:lvlText w:val="•"/>
      <w:lvlJc w:val="left"/>
      <w:pPr>
        <w:ind w:left="6980" w:hanging="329"/>
      </w:pPr>
      <w:rPr>
        <w:rFonts w:hint="default"/>
        <w:lang w:val="en-US" w:eastAsia="en-US" w:bidi="ar-SA"/>
      </w:rPr>
    </w:lvl>
    <w:lvl w:ilvl="8" w:tplc="80D4C6DA">
      <w:numFmt w:val="bullet"/>
      <w:lvlText w:val="•"/>
      <w:lvlJc w:val="left"/>
      <w:pPr>
        <w:ind w:left="8013" w:hanging="329"/>
      </w:pPr>
      <w:rPr>
        <w:rFonts w:hint="default"/>
        <w:lang w:val="en-US" w:eastAsia="en-US" w:bidi="ar-SA"/>
      </w:rPr>
    </w:lvl>
  </w:abstractNum>
  <w:abstractNum w:abstractNumId="9" w15:restartNumberingAfterBreak="0">
    <w:nsid w:val="6A4C28F0"/>
    <w:multiLevelType w:val="hybridMultilevel"/>
    <w:tmpl w:val="00000000"/>
    <w:lvl w:ilvl="0" w:tplc="0248EC6A">
      <w:start w:val="1"/>
      <w:numFmt w:val="decimal"/>
      <w:lvlText w:val="%1."/>
      <w:lvlJc w:val="left"/>
      <w:pPr>
        <w:ind w:left="674" w:hanging="315"/>
      </w:pPr>
      <w:rPr>
        <w:rFonts w:ascii="Arial" w:eastAsia="Arial" w:hAnsi="Arial" w:cs="Arial" w:hint="default"/>
        <w:b/>
        <w:bCs/>
        <w:i w:val="0"/>
        <w:iCs w:val="0"/>
        <w:spacing w:val="0"/>
        <w:w w:val="91"/>
        <w:sz w:val="28"/>
        <w:szCs w:val="28"/>
        <w:u w:val="single" w:color="000000"/>
        <w:lang w:val="en-US" w:eastAsia="en-US" w:bidi="ar-SA"/>
      </w:rPr>
    </w:lvl>
    <w:lvl w:ilvl="1" w:tplc="47E808D6">
      <w:start w:val="1"/>
      <w:numFmt w:val="lowerLetter"/>
      <w:lvlText w:val="(%2)"/>
      <w:lvlJc w:val="left"/>
      <w:pPr>
        <w:ind w:left="784" w:hanging="425"/>
      </w:pPr>
      <w:rPr>
        <w:rFonts w:ascii="Arial" w:eastAsia="Arial" w:hAnsi="Arial" w:cs="Arial" w:hint="default"/>
        <w:b/>
        <w:bCs/>
        <w:i w:val="0"/>
        <w:iCs w:val="0"/>
        <w:spacing w:val="0"/>
        <w:w w:val="100"/>
        <w:sz w:val="28"/>
        <w:szCs w:val="28"/>
        <w:lang w:val="en-US" w:eastAsia="en-US" w:bidi="ar-SA"/>
      </w:rPr>
    </w:lvl>
    <w:lvl w:ilvl="2" w:tplc="45100484">
      <w:numFmt w:val="bullet"/>
      <w:lvlText w:val="•"/>
      <w:lvlJc w:val="left"/>
      <w:pPr>
        <w:ind w:left="1813" w:hanging="425"/>
      </w:pPr>
      <w:rPr>
        <w:rFonts w:hint="default"/>
        <w:lang w:val="en-US" w:eastAsia="en-US" w:bidi="ar-SA"/>
      </w:rPr>
    </w:lvl>
    <w:lvl w:ilvl="3" w:tplc="A8D2F366">
      <w:numFmt w:val="bullet"/>
      <w:lvlText w:val="•"/>
      <w:lvlJc w:val="left"/>
      <w:pPr>
        <w:ind w:left="2846" w:hanging="425"/>
      </w:pPr>
      <w:rPr>
        <w:rFonts w:hint="default"/>
        <w:lang w:val="en-US" w:eastAsia="en-US" w:bidi="ar-SA"/>
      </w:rPr>
    </w:lvl>
    <w:lvl w:ilvl="4" w:tplc="43D6B802">
      <w:numFmt w:val="bullet"/>
      <w:lvlText w:val="•"/>
      <w:lvlJc w:val="left"/>
      <w:pPr>
        <w:ind w:left="3880" w:hanging="425"/>
      </w:pPr>
      <w:rPr>
        <w:rFonts w:hint="default"/>
        <w:lang w:val="en-US" w:eastAsia="en-US" w:bidi="ar-SA"/>
      </w:rPr>
    </w:lvl>
    <w:lvl w:ilvl="5" w:tplc="A4804734">
      <w:numFmt w:val="bullet"/>
      <w:lvlText w:val="•"/>
      <w:lvlJc w:val="left"/>
      <w:pPr>
        <w:ind w:left="4913" w:hanging="425"/>
      </w:pPr>
      <w:rPr>
        <w:rFonts w:hint="default"/>
        <w:lang w:val="en-US" w:eastAsia="en-US" w:bidi="ar-SA"/>
      </w:rPr>
    </w:lvl>
    <w:lvl w:ilvl="6" w:tplc="0BF620A8">
      <w:numFmt w:val="bullet"/>
      <w:lvlText w:val="•"/>
      <w:lvlJc w:val="left"/>
      <w:pPr>
        <w:ind w:left="5946" w:hanging="425"/>
      </w:pPr>
      <w:rPr>
        <w:rFonts w:hint="default"/>
        <w:lang w:val="en-US" w:eastAsia="en-US" w:bidi="ar-SA"/>
      </w:rPr>
    </w:lvl>
    <w:lvl w:ilvl="7" w:tplc="3A4AA8FA">
      <w:numFmt w:val="bullet"/>
      <w:lvlText w:val="•"/>
      <w:lvlJc w:val="left"/>
      <w:pPr>
        <w:ind w:left="6980" w:hanging="425"/>
      </w:pPr>
      <w:rPr>
        <w:rFonts w:hint="default"/>
        <w:lang w:val="en-US" w:eastAsia="en-US" w:bidi="ar-SA"/>
      </w:rPr>
    </w:lvl>
    <w:lvl w:ilvl="8" w:tplc="0532B78A">
      <w:numFmt w:val="bullet"/>
      <w:lvlText w:val="•"/>
      <w:lvlJc w:val="left"/>
      <w:pPr>
        <w:ind w:left="8013" w:hanging="425"/>
      </w:pPr>
      <w:rPr>
        <w:rFonts w:hint="default"/>
        <w:lang w:val="en-US" w:eastAsia="en-US" w:bidi="ar-SA"/>
      </w:rPr>
    </w:lvl>
  </w:abstractNum>
  <w:abstractNum w:abstractNumId="10" w15:restartNumberingAfterBreak="0">
    <w:nsid w:val="77A54A07"/>
    <w:multiLevelType w:val="hybridMultilevel"/>
    <w:tmpl w:val="00000000"/>
    <w:lvl w:ilvl="0" w:tplc="6DE669BA">
      <w:start w:val="2"/>
      <w:numFmt w:val="lowerRoman"/>
      <w:lvlText w:val="(%1)"/>
      <w:lvlJc w:val="left"/>
      <w:pPr>
        <w:ind w:left="2190" w:hanging="391"/>
      </w:pPr>
      <w:rPr>
        <w:rFonts w:ascii="Arial" w:eastAsia="Arial" w:hAnsi="Arial" w:cs="Arial" w:hint="default"/>
        <w:b w:val="0"/>
        <w:bCs w:val="0"/>
        <w:i w:val="0"/>
        <w:iCs w:val="0"/>
        <w:spacing w:val="0"/>
        <w:w w:val="100"/>
        <w:sz w:val="28"/>
        <w:szCs w:val="28"/>
        <w:lang w:val="en-US" w:eastAsia="en-US" w:bidi="ar-SA"/>
      </w:rPr>
    </w:lvl>
    <w:lvl w:ilvl="1" w:tplc="9BB27014">
      <w:numFmt w:val="bullet"/>
      <w:lvlText w:val="•"/>
      <w:lvlJc w:val="left"/>
      <w:pPr>
        <w:ind w:left="2988" w:hanging="391"/>
      </w:pPr>
      <w:rPr>
        <w:rFonts w:hint="default"/>
        <w:lang w:val="en-US" w:eastAsia="en-US" w:bidi="ar-SA"/>
      </w:rPr>
    </w:lvl>
    <w:lvl w:ilvl="2" w:tplc="1180A16E">
      <w:numFmt w:val="bullet"/>
      <w:lvlText w:val="•"/>
      <w:lvlJc w:val="left"/>
      <w:pPr>
        <w:ind w:left="3776" w:hanging="391"/>
      </w:pPr>
      <w:rPr>
        <w:rFonts w:hint="default"/>
        <w:lang w:val="en-US" w:eastAsia="en-US" w:bidi="ar-SA"/>
      </w:rPr>
    </w:lvl>
    <w:lvl w:ilvl="3" w:tplc="9754097E">
      <w:numFmt w:val="bullet"/>
      <w:lvlText w:val="•"/>
      <w:lvlJc w:val="left"/>
      <w:pPr>
        <w:ind w:left="4564" w:hanging="391"/>
      </w:pPr>
      <w:rPr>
        <w:rFonts w:hint="default"/>
        <w:lang w:val="en-US" w:eastAsia="en-US" w:bidi="ar-SA"/>
      </w:rPr>
    </w:lvl>
    <w:lvl w:ilvl="4" w:tplc="722C5DA2">
      <w:numFmt w:val="bullet"/>
      <w:lvlText w:val="•"/>
      <w:lvlJc w:val="left"/>
      <w:pPr>
        <w:ind w:left="5352" w:hanging="391"/>
      </w:pPr>
      <w:rPr>
        <w:rFonts w:hint="default"/>
        <w:lang w:val="en-US" w:eastAsia="en-US" w:bidi="ar-SA"/>
      </w:rPr>
    </w:lvl>
    <w:lvl w:ilvl="5" w:tplc="68DAFB52">
      <w:numFmt w:val="bullet"/>
      <w:lvlText w:val="•"/>
      <w:lvlJc w:val="left"/>
      <w:pPr>
        <w:ind w:left="6140" w:hanging="391"/>
      </w:pPr>
      <w:rPr>
        <w:rFonts w:hint="default"/>
        <w:lang w:val="en-US" w:eastAsia="en-US" w:bidi="ar-SA"/>
      </w:rPr>
    </w:lvl>
    <w:lvl w:ilvl="6" w:tplc="0E867C86">
      <w:numFmt w:val="bullet"/>
      <w:lvlText w:val="•"/>
      <w:lvlJc w:val="left"/>
      <w:pPr>
        <w:ind w:left="6928" w:hanging="391"/>
      </w:pPr>
      <w:rPr>
        <w:rFonts w:hint="default"/>
        <w:lang w:val="en-US" w:eastAsia="en-US" w:bidi="ar-SA"/>
      </w:rPr>
    </w:lvl>
    <w:lvl w:ilvl="7" w:tplc="BCD6E4FA">
      <w:numFmt w:val="bullet"/>
      <w:lvlText w:val="•"/>
      <w:lvlJc w:val="left"/>
      <w:pPr>
        <w:ind w:left="7716" w:hanging="391"/>
      </w:pPr>
      <w:rPr>
        <w:rFonts w:hint="default"/>
        <w:lang w:val="en-US" w:eastAsia="en-US" w:bidi="ar-SA"/>
      </w:rPr>
    </w:lvl>
    <w:lvl w:ilvl="8" w:tplc="F2E837CC">
      <w:numFmt w:val="bullet"/>
      <w:lvlText w:val="•"/>
      <w:lvlJc w:val="left"/>
      <w:pPr>
        <w:ind w:left="8504" w:hanging="391"/>
      </w:pPr>
      <w:rPr>
        <w:rFonts w:hint="default"/>
        <w:lang w:val="en-US" w:eastAsia="en-US" w:bidi="ar-SA"/>
      </w:rPr>
    </w:lvl>
  </w:abstractNum>
  <w:num w:numId="1" w16cid:durableId="290863062">
    <w:abstractNumId w:val="7"/>
  </w:num>
  <w:num w:numId="2" w16cid:durableId="168520441">
    <w:abstractNumId w:val="0"/>
  </w:num>
  <w:num w:numId="3" w16cid:durableId="1729961525">
    <w:abstractNumId w:val="2"/>
  </w:num>
  <w:num w:numId="4" w16cid:durableId="884606054">
    <w:abstractNumId w:val="4"/>
  </w:num>
  <w:num w:numId="5" w16cid:durableId="979305040">
    <w:abstractNumId w:val="8"/>
  </w:num>
  <w:num w:numId="6" w16cid:durableId="2004892348">
    <w:abstractNumId w:val="6"/>
  </w:num>
  <w:num w:numId="7" w16cid:durableId="795300020">
    <w:abstractNumId w:val="9"/>
  </w:num>
  <w:num w:numId="8" w16cid:durableId="1916551134">
    <w:abstractNumId w:val="10"/>
  </w:num>
  <w:num w:numId="9" w16cid:durableId="503864000">
    <w:abstractNumId w:val="5"/>
  </w:num>
  <w:num w:numId="10" w16cid:durableId="208343600">
    <w:abstractNumId w:val="3"/>
  </w:num>
  <w:num w:numId="11" w16cid:durableId="116270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99"/>
    <w:rsid w:val="00013FAD"/>
    <w:rsid w:val="00023F99"/>
    <w:rsid w:val="00057BA0"/>
    <w:rsid w:val="000B23FA"/>
    <w:rsid w:val="000C0F49"/>
    <w:rsid w:val="000C5D0F"/>
    <w:rsid w:val="000C6B9B"/>
    <w:rsid w:val="000E2ABD"/>
    <w:rsid w:val="000F1E35"/>
    <w:rsid w:val="00101DB4"/>
    <w:rsid w:val="00131038"/>
    <w:rsid w:val="00133A79"/>
    <w:rsid w:val="00142D08"/>
    <w:rsid w:val="0015392B"/>
    <w:rsid w:val="00154DF1"/>
    <w:rsid w:val="0016285E"/>
    <w:rsid w:val="00172E8A"/>
    <w:rsid w:val="001903D0"/>
    <w:rsid w:val="001936F2"/>
    <w:rsid w:val="00193AE8"/>
    <w:rsid w:val="001A5DD6"/>
    <w:rsid w:val="001B4824"/>
    <w:rsid w:val="001C4109"/>
    <w:rsid w:val="001D4B6D"/>
    <w:rsid w:val="001E3702"/>
    <w:rsid w:val="001E4A56"/>
    <w:rsid w:val="001E51DB"/>
    <w:rsid w:val="00201497"/>
    <w:rsid w:val="002052DC"/>
    <w:rsid w:val="00210188"/>
    <w:rsid w:val="002149DC"/>
    <w:rsid w:val="00215EF2"/>
    <w:rsid w:val="00226C81"/>
    <w:rsid w:val="00250FC9"/>
    <w:rsid w:val="0026010F"/>
    <w:rsid w:val="002637F4"/>
    <w:rsid w:val="00295D53"/>
    <w:rsid w:val="002A3882"/>
    <w:rsid w:val="002B69A8"/>
    <w:rsid w:val="002D0043"/>
    <w:rsid w:val="002D4874"/>
    <w:rsid w:val="002E50FD"/>
    <w:rsid w:val="002F23C1"/>
    <w:rsid w:val="002F383B"/>
    <w:rsid w:val="00302E2A"/>
    <w:rsid w:val="0030516F"/>
    <w:rsid w:val="00312D3F"/>
    <w:rsid w:val="0037631D"/>
    <w:rsid w:val="00381EE9"/>
    <w:rsid w:val="003A78C6"/>
    <w:rsid w:val="003F0747"/>
    <w:rsid w:val="00405216"/>
    <w:rsid w:val="00407E69"/>
    <w:rsid w:val="00417335"/>
    <w:rsid w:val="004415EE"/>
    <w:rsid w:val="00461829"/>
    <w:rsid w:val="00476DD5"/>
    <w:rsid w:val="004940C0"/>
    <w:rsid w:val="004D15CA"/>
    <w:rsid w:val="004D3D03"/>
    <w:rsid w:val="004E0D75"/>
    <w:rsid w:val="004E14E4"/>
    <w:rsid w:val="004F2FAA"/>
    <w:rsid w:val="00510E21"/>
    <w:rsid w:val="0051526F"/>
    <w:rsid w:val="00523346"/>
    <w:rsid w:val="005505C5"/>
    <w:rsid w:val="005556FE"/>
    <w:rsid w:val="005742B6"/>
    <w:rsid w:val="005940FA"/>
    <w:rsid w:val="005941DD"/>
    <w:rsid w:val="005B79F6"/>
    <w:rsid w:val="005D163C"/>
    <w:rsid w:val="005F0390"/>
    <w:rsid w:val="005F0668"/>
    <w:rsid w:val="005F4F28"/>
    <w:rsid w:val="00614345"/>
    <w:rsid w:val="00622CD0"/>
    <w:rsid w:val="00663F97"/>
    <w:rsid w:val="00681386"/>
    <w:rsid w:val="00685EA7"/>
    <w:rsid w:val="006901A4"/>
    <w:rsid w:val="006A2655"/>
    <w:rsid w:val="006D41B2"/>
    <w:rsid w:val="006E0392"/>
    <w:rsid w:val="006F5944"/>
    <w:rsid w:val="00711571"/>
    <w:rsid w:val="00720B94"/>
    <w:rsid w:val="007847C0"/>
    <w:rsid w:val="007A0C3E"/>
    <w:rsid w:val="007C192D"/>
    <w:rsid w:val="007D6005"/>
    <w:rsid w:val="00801AEF"/>
    <w:rsid w:val="0080402F"/>
    <w:rsid w:val="008119E2"/>
    <w:rsid w:val="00814A22"/>
    <w:rsid w:val="008213A7"/>
    <w:rsid w:val="008214AB"/>
    <w:rsid w:val="00822799"/>
    <w:rsid w:val="008455AE"/>
    <w:rsid w:val="00855D9A"/>
    <w:rsid w:val="008569CB"/>
    <w:rsid w:val="008C58B7"/>
    <w:rsid w:val="008F1D32"/>
    <w:rsid w:val="00901012"/>
    <w:rsid w:val="00921100"/>
    <w:rsid w:val="00930668"/>
    <w:rsid w:val="00976B02"/>
    <w:rsid w:val="009902CA"/>
    <w:rsid w:val="00994093"/>
    <w:rsid w:val="009C2668"/>
    <w:rsid w:val="009D1F07"/>
    <w:rsid w:val="009D3212"/>
    <w:rsid w:val="00A01C08"/>
    <w:rsid w:val="00A06609"/>
    <w:rsid w:val="00A42490"/>
    <w:rsid w:val="00A666E2"/>
    <w:rsid w:val="00A71EAB"/>
    <w:rsid w:val="00A863C9"/>
    <w:rsid w:val="00AA2EC9"/>
    <w:rsid w:val="00AB22F6"/>
    <w:rsid w:val="00AF17E8"/>
    <w:rsid w:val="00AF6B06"/>
    <w:rsid w:val="00AF71BB"/>
    <w:rsid w:val="00B30DD1"/>
    <w:rsid w:val="00B90732"/>
    <w:rsid w:val="00BB2CD5"/>
    <w:rsid w:val="00BE530E"/>
    <w:rsid w:val="00BF28EB"/>
    <w:rsid w:val="00C2001B"/>
    <w:rsid w:val="00C369EB"/>
    <w:rsid w:val="00C65C3E"/>
    <w:rsid w:val="00C761B4"/>
    <w:rsid w:val="00C84A09"/>
    <w:rsid w:val="00CB02C6"/>
    <w:rsid w:val="00CB3861"/>
    <w:rsid w:val="00CD2913"/>
    <w:rsid w:val="00CF0FB6"/>
    <w:rsid w:val="00CF4051"/>
    <w:rsid w:val="00D40B6D"/>
    <w:rsid w:val="00D43470"/>
    <w:rsid w:val="00D67200"/>
    <w:rsid w:val="00DB78DD"/>
    <w:rsid w:val="00DD0077"/>
    <w:rsid w:val="00DF6DA1"/>
    <w:rsid w:val="00E14605"/>
    <w:rsid w:val="00E40AB1"/>
    <w:rsid w:val="00E6409F"/>
    <w:rsid w:val="00E712CF"/>
    <w:rsid w:val="00E7553A"/>
    <w:rsid w:val="00E84496"/>
    <w:rsid w:val="00EA469F"/>
    <w:rsid w:val="00EC4E6F"/>
    <w:rsid w:val="00EC7395"/>
    <w:rsid w:val="00EE38A3"/>
    <w:rsid w:val="00F001E0"/>
    <w:rsid w:val="00F256C0"/>
    <w:rsid w:val="00F45176"/>
    <w:rsid w:val="00F45FEF"/>
    <w:rsid w:val="00FA1B14"/>
    <w:rsid w:val="00FA2AA6"/>
    <w:rsid w:val="00FA59F1"/>
    <w:rsid w:val="00FB379E"/>
    <w:rsid w:val="00FD2865"/>
    <w:rsid w:val="00FF020D"/>
    <w:rsid w:val="00FF498C"/>
    <w:rsid w:val="00FF535E"/>
  </w:rsids>
  <m:mathPr>
    <m:mathFont m:val="Cambria Math"/>
    <m:brkBin m:val="before"/>
    <m:brkBinSub m:val="--"/>
    <m:smallFrac m:val="0"/>
    <m:dispDef/>
    <m:lMargin m:val="0"/>
    <m:rMargin m:val="0"/>
    <m:defJc m:val="centerGroup"/>
    <m:wrapIndent m:val="1440"/>
    <m:intLim m:val="subSup"/>
    <m:naryLim m:val="undOvr"/>
  </m:mathPr>
  <w:themeFontLang w:val="en-CA"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318C"/>
  <w15:docId w15:val="{9EA8140B-F12F-4A6F-BE2B-6DF50990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60"/>
      <w:outlineLvl w:val="0"/>
    </w:pPr>
    <w:rPr>
      <w:rFonts w:ascii="Cambria" w:eastAsia="Cambria" w:hAnsi="Cambria" w:cs="Cambria"/>
      <w:b/>
      <w:bCs/>
      <w:sz w:val="36"/>
      <w:szCs w:val="36"/>
    </w:rPr>
  </w:style>
  <w:style w:type="paragraph" w:styleId="Heading2">
    <w:name w:val="heading 2"/>
    <w:basedOn w:val="Normal"/>
    <w:uiPriority w:val="1"/>
    <w:qFormat/>
    <w:pPr>
      <w:spacing w:before="278"/>
      <w:ind w:left="594" w:hanging="435"/>
      <w:outlineLvl w:val="1"/>
    </w:pPr>
    <w:rPr>
      <w:b/>
      <w:bCs/>
      <w:sz w:val="28"/>
      <w:szCs w:val="28"/>
    </w:rPr>
  </w:style>
  <w:style w:type="paragraph" w:styleId="Heading3">
    <w:name w:val="heading 3"/>
    <w:basedOn w:val="Normal"/>
    <w:next w:val="Normal"/>
    <w:link w:val="Heading3Char"/>
    <w:uiPriority w:val="9"/>
    <w:unhideWhenUsed/>
    <w:qFormat/>
    <w:rsid w:val="00A863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54DF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2"/>
    <w:next w:val="Normal"/>
    <w:link w:val="Heading5Char"/>
    <w:uiPriority w:val="9"/>
    <w:unhideWhenUsed/>
    <w:qFormat/>
    <w:rsid w:val="00CD2913"/>
    <w:pPr>
      <w:spacing w:before="74"/>
      <w:ind w:left="360" w:firstLine="0"/>
      <w:outlineLvl w:val="4"/>
    </w:pPr>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20"/>
      <w:ind w:left="670" w:hanging="313"/>
    </w:pPr>
    <w:rPr>
      <w:b/>
      <w:bCs/>
      <w:sz w:val="28"/>
      <w:szCs w:val="28"/>
    </w:rPr>
  </w:style>
  <w:style w:type="paragraph" w:styleId="TOC2">
    <w:name w:val="toc 2"/>
    <w:basedOn w:val="Normal"/>
    <w:uiPriority w:val="39"/>
    <w:qFormat/>
    <w:rsid w:val="009C2668"/>
    <w:pPr>
      <w:spacing w:before="120"/>
      <w:ind w:left="669" w:hanging="312"/>
    </w:pPr>
    <w:rPr>
      <w:b/>
      <w:bCs/>
      <w:sz w:val="28"/>
      <w:szCs w:val="28"/>
    </w:rPr>
  </w:style>
  <w:style w:type="paragraph" w:styleId="TOC3">
    <w:name w:val="toc 3"/>
    <w:basedOn w:val="Normal"/>
    <w:uiPriority w:val="39"/>
    <w:qFormat/>
    <w:rsid w:val="009C2668"/>
    <w:pPr>
      <w:spacing w:before="122" w:line="322" w:lineRule="exact"/>
      <w:ind w:left="1474" w:hanging="391"/>
    </w:pPr>
    <w:rPr>
      <w:sz w:val="28"/>
      <w:szCs w:val="28"/>
    </w:rPr>
  </w:style>
  <w:style w:type="paragraph" w:styleId="TOC4">
    <w:name w:val="toc 4"/>
    <w:basedOn w:val="Normal"/>
    <w:uiPriority w:val="39"/>
    <w:qFormat/>
    <w:rsid w:val="009C2668"/>
    <w:pPr>
      <w:spacing w:line="322" w:lineRule="exact"/>
      <w:ind w:left="1803"/>
    </w:pPr>
    <w:rPr>
      <w:sz w:val="28"/>
      <w:szCs w:val="28"/>
    </w:rPr>
  </w:style>
  <w:style w:type="paragraph" w:styleId="BodyText">
    <w:name w:val="Body Text"/>
    <w:basedOn w:val="Normal"/>
    <w:uiPriority w:val="1"/>
    <w:qFormat/>
    <w:pPr>
      <w:ind w:left="360"/>
    </w:pPr>
    <w:rPr>
      <w:sz w:val="28"/>
      <w:szCs w:val="28"/>
    </w:rPr>
  </w:style>
  <w:style w:type="paragraph" w:styleId="ListParagraph">
    <w:name w:val="List Paragraph"/>
    <w:basedOn w:val="Normal"/>
    <w:uiPriority w:val="1"/>
    <w:qFormat/>
    <w:pPr>
      <w:ind w:left="1080" w:hanging="435"/>
    </w:pPr>
  </w:style>
  <w:style w:type="paragraph" w:customStyle="1" w:styleId="TableParagraph">
    <w:name w:val="Table Paragraph"/>
    <w:basedOn w:val="Normal"/>
    <w:uiPriority w:val="1"/>
    <w:qFormat/>
    <w:pPr>
      <w:spacing w:line="164" w:lineRule="exact"/>
      <w:ind w:left="32"/>
      <w:jc w:val="center"/>
    </w:pPr>
  </w:style>
  <w:style w:type="character" w:customStyle="1" w:styleId="Heading3Char">
    <w:name w:val="Heading 3 Char"/>
    <w:basedOn w:val="DefaultParagraphFont"/>
    <w:link w:val="Heading3"/>
    <w:uiPriority w:val="9"/>
    <w:rsid w:val="00A863C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54DF1"/>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172E8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172E8A"/>
    <w:rPr>
      <w:color w:val="0000FF" w:themeColor="hyperlink"/>
      <w:u w:val="single"/>
    </w:rPr>
  </w:style>
  <w:style w:type="character" w:customStyle="1" w:styleId="Heading5Char">
    <w:name w:val="Heading 5 Char"/>
    <w:basedOn w:val="DefaultParagraphFont"/>
    <w:link w:val="Heading5"/>
    <w:uiPriority w:val="9"/>
    <w:rsid w:val="00CD2913"/>
    <w:rPr>
      <w:rFonts w:ascii="Arial" w:eastAsia="Arial" w:hAnsi="Arial" w:cs="Arial"/>
      <w:b/>
      <w:bCs/>
      <w:sz w:val="28"/>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e987aa-ba57-409a-b474-072a10bf63c3" xsi:nil="true"/>
    <lcf76f155ced4ddcb4097134ff3c332f xmlns="59db3a20-cd76-483e-8241-5de0717f7c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D872F97966D74188195EB9403F400A" ma:contentTypeVersion="16" ma:contentTypeDescription="Create a new document." ma:contentTypeScope="" ma:versionID="8429385352e4e022024b498345b38209">
  <xsd:schema xmlns:xsd="http://www.w3.org/2001/XMLSchema" xmlns:xs="http://www.w3.org/2001/XMLSchema" xmlns:p="http://schemas.microsoft.com/office/2006/metadata/properties" xmlns:ns2="59db3a20-cd76-483e-8241-5de0717f7c1b" xmlns:ns3="6ce987aa-ba57-409a-b474-072a10bf63c3" targetNamespace="http://schemas.microsoft.com/office/2006/metadata/properties" ma:root="true" ma:fieldsID="1b0bba8fa089223005145415bcce5504" ns2:_="" ns3:_="">
    <xsd:import namespace="59db3a20-cd76-483e-8241-5de0717f7c1b"/>
    <xsd:import namespace="6ce987aa-ba57-409a-b474-072a10bf6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b3a20-cd76-483e-8241-5de0717f7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7f22d1-df36-4656-b771-499c17e378f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987aa-ba57-409a-b474-072a10bf6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4be893-9554-4ae9-8310-b7adac79726f}" ma:internalName="TaxCatchAll" ma:showField="CatchAllData" ma:web="6ce987aa-ba57-409a-b474-072a10bf63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2E640-C31E-4367-AE41-141D007E4B31}">
  <ds:schemaRefs>
    <ds:schemaRef ds:uri="http://schemas.microsoft.com/office/2006/metadata/properties"/>
    <ds:schemaRef ds:uri="http://schemas.microsoft.com/office/infopath/2007/PartnerControls"/>
    <ds:schemaRef ds:uri="6ce987aa-ba57-409a-b474-072a10bf63c3"/>
    <ds:schemaRef ds:uri="59db3a20-cd76-483e-8241-5de0717f7c1b"/>
  </ds:schemaRefs>
</ds:datastoreItem>
</file>

<file path=customXml/itemProps2.xml><?xml version="1.0" encoding="utf-8"?>
<ds:datastoreItem xmlns:ds="http://schemas.openxmlformats.org/officeDocument/2006/customXml" ds:itemID="{51B10126-D914-4F89-BA67-89848D8A9345}">
  <ds:schemaRefs>
    <ds:schemaRef ds:uri="http://schemas.microsoft.com/sharepoint/v3/contenttype/forms"/>
  </ds:schemaRefs>
</ds:datastoreItem>
</file>

<file path=customXml/itemProps3.xml><?xml version="1.0" encoding="utf-8"?>
<ds:datastoreItem xmlns:ds="http://schemas.openxmlformats.org/officeDocument/2006/customXml" ds:itemID="{7F5CCD0B-244D-44E1-9416-509F92B7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b3a20-cd76-483e-8241-5de0717f7c1b"/>
    <ds:schemaRef ds:uri="6ce987aa-ba57-409a-b474-072a10bf6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E081C-D507-4B11-BEAA-5C68F397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5168</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Go Transit</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d’accessibilité de Metrolinx pour la mise en oeuvre de la Loi de 2005 sur l’accessibilité pour les personnes handicapées de l’Ontario (LAPHO)</dc:title>
  <dc:creator>Administrator</dc:creator>
  <cp:lastModifiedBy>Gregory Kozakewich</cp:lastModifiedBy>
  <cp:revision>4</cp:revision>
  <dcterms:created xsi:type="dcterms:W3CDTF">2026-05-07T17:02:00Z</dcterms:created>
  <dcterms:modified xsi:type="dcterms:W3CDTF">2026-05-07T17:38:00Z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2013-11-26T00:00:00Z</vt:filetime>
  </property>
  <property fmtid="{D5CDD505-2E9C-101B-9397-08002B2CF9AE}" pid="3" name="Creator">
    <vt:lpwstr>Acrobat PDFMaker 10.1 for Word</vt:lpwstr>
  </property>
  <property fmtid="{D5CDD505-2E9C-101B-9397-08002B2CF9AE}" pid="4" name="LastSaved">
    <vt:filetime>2026-03-02T00:00:00Z</vt:filetime>
  </property>
  <property fmtid="{D5CDD505-2E9C-101B-9397-08002B2CF9AE}" pid="5" name="Producer">
    <vt:lpwstr>Adobe PDF Library 10.0</vt:lpwstr>
  </property>
  <property fmtid="{D5CDD505-2E9C-101B-9397-08002B2CF9AE}" pid="6" name="SourceModified">
    <vt:lpwstr>D:20131126153517</vt:lpwstr>
  </property>
  <property fmtid="{D5CDD505-2E9C-101B-9397-08002B2CF9AE}" pid="7" name="ContentTypeId">
    <vt:lpwstr>0x01010074D872F97966D74188195EB9403F400A</vt:lpwstr>
  </property>
  <property fmtid="{D5CDD505-2E9C-101B-9397-08002B2CF9AE}" pid="8" name="MediaServiceImageTags">
    <vt:lpwstr/>
  </property>
</Properties>
</file>