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29" w:type="dxa"/>
        </w:tblCellMar>
        <w:tblLook w:val="0000" w:firstRow="0" w:lastRow="0" w:firstColumn="0" w:lastColumn="0" w:noHBand="0" w:noVBand="0"/>
      </w:tblPr>
      <w:tblGrid>
        <w:gridCol w:w="6523"/>
        <w:gridCol w:w="1650"/>
        <w:gridCol w:w="1907"/>
      </w:tblGrid>
      <w:tr w:rsidR="00901CD5" w14:paraId="038059FC" w14:textId="77777777" w:rsidTr="004E71EA">
        <w:trPr>
          <w:trHeight w:val="541"/>
        </w:trPr>
        <w:tc>
          <w:tcPr>
            <w:tcW w:w="6523" w:type="dxa"/>
            <w:vMerge w:val="restart"/>
            <w:tcBorders>
              <w:top w:val="nil"/>
              <w:left w:val="nil"/>
              <w:right w:val="nil"/>
            </w:tcBorders>
            <w:shd w:val="clear" w:color="auto" w:fill="000000" w:themeFill="text1"/>
            <w:vAlign w:val="center"/>
          </w:tcPr>
          <w:p w14:paraId="7A05860D" w14:textId="77777777" w:rsidR="00901CD5" w:rsidRPr="00797FED" w:rsidRDefault="00901CD5" w:rsidP="004E71EA">
            <w:pPr>
              <w:pStyle w:val="HeaderTitleOdd"/>
              <w:ind w:left="72"/>
              <w:jc w:val="left"/>
              <w:rPr>
                <w:caps w:val="0"/>
                <w:sz w:val="28"/>
                <w:szCs w:val="28"/>
              </w:rPr>
            </w:pPr>
            <w:bookmarkStart w:id="0" w:name="_Toc516822344"/>
            <w:r w:rsidRPr="6533CCF9">
              <w:rPr>
                <w:caps w:val="0"/>
                <w:sz w:val="28"/>
                <w:szCs w:val="28"/>
              </w:rPr>
              <w:t>Operations</w:t>
            </w:r>
          </w:p>
          <w:p w14:paraId="40F489EC" w14:textId="77777777" w:rsidR="00901CD5" w:rsidRPr="006F4FBF" w:rsidRDefault="00901CD5" w:rsidP="004E71EA">
            <w:pPr>
              <w:pStyle w:val="HeaderPolicyno"/>
              <w:ind w:left="72"/>
              <w:jc w:val="left"/>
              <w:rPr>
                <w:caps/>
              </w:rPr>
            </w:pPr>
            <w:r w:rsidRPr="6533CCF9">
              <w:rPr>
                <w:b/>
                <w:bCs/>
              </w:rPr>
              <w:t xml:space="preserve">Customer Experience </w:t>
            </w:r>
          </w:p>
        </w:tc>
        <w:tc>
          <w:tcPr>
            <w:tcW w:w="1650" w:type="dxa"/>
            <w:tcBorders>
              <w:top w:val="nil"/>
              <w:left w:val="nil"/>
              <w:bottom w:val="nil"/>
              <w:right w:val="nil"/>
            </w:tcBorders>
            <w:vAlign w:val="center"/>
          </w:tcPr>
          <w:p w14:paraId="005BFD7A" w14:textId="77777777" w:rsidR="00901CD5" w:rsidRPr="006F4FBF" w:rsidRDefault="00901CD5" w:rsidP="004E71EA">
            <w:pPr>
              <w:pStyle w:val="HeaderTitleOdd"/>
              <w:jc w:val="right"/>
              <w:rPr>
                <w:b w:val="0"/>
                <w:caps w:val="0"/>
              </w:rPr>
            </w:pPr>
            <w:r w:rsidRPr="006F4FBF">
              <w:rPr>
                <w:b w:val="0"/>
                <w:caps w:val="0"/>
                <w:sz w:val="20"/>
              </w:rPr>
              <w:t xml:space="preserve">Policy No. </w:t>
            </w:r>
          </w:p>
        </w:tc>
        <w:tc>
          <w:tcPr>
            <w:tcW w:w="1907" w:type="dxa"/>
            <w:tcBorders>
              <w:top w:val="nil"/>
              <w:left w:val="nil"/>
              <w:bottom w:val="nil"/>
              <w:right w:val="nil"/>
            </w:tcBorders>
            <w:vAlign w:val="center"/>
          </w:tcPr>
          <w:p w14:paraId="6417E385" w14:textId="77777777" w:rsidR="00901CD5" w:rsidRPr="006F4FBF" w:rsidRDefault="00901CD5" w:rsidP="004E71EA">
            <w:pPr>
              <w:pStyle w:val="HeaderPolicyno"/>
              <w:rPr>
                <w:b/>
                <w:bCs/>
              </w:rPr>
            </w:pPr>
            <w:r w:rsidRPr="6533CCF9">
              <w:rPr>
                <w:b/>
                <w:bCs/>
              </w:rPr>
              <w:t>CO-0202-01</w:t>
            </w:r>
          </w:p>
        </w:tc>
      </w:tr>
      <w:tr w:rsidR="00901CD5" w14:paraId="0C9D2B43" w14:textId="77777777" w:rsidTr="004E71EA">
        <w:trPr>
          <w:trHeight w:val="432"/>
        </w:trPr>
        <w:tc>
          <w:tcPr>
            <w:tcW w:w="6523" w:type="dxa"/>
            <w:vMerge/>
            <w:shd w:val="clear" w:color="auto" w:fill="000000" w:themeFill="text1"/>
            <w:vAlign w:val="center"/>
          </w:tcPr>
          <w:p w14:paraId="6E08D34A" w14:textId="77777777" w:rsidR="00901CD5" w:rsidRPr="00EB075B" w:rsidRDefault="00901CD5" w:rsidP="004E71EA">
            <w:pPr>
              <w:pStyle w:val="HeaderPolicyno"/>
              <w:ind w:left="72"/>
              <w:jc w:val="left"/>
              <w:rPr>
                <w:b/>
              </w:rPr>
            </w:pPr>
          </w:p>
        </w:tc>
        <w:tc>
          <w:tcPr>
            <w:tcW w:w="1650" w:type="dxa"/>
            <w:tcBorders>
              <w:top w:val="nil"/>
              <w:left w:val="nil"/>
              <w:bottom w:val="nil"/>
              <w:right w:val="nil"/>
            </w:tcBorders>
            <w:vAlign w:val="center"/>
          </w:tcPr>
          <w:p w14:paraId="639EA74E" w14:textId="77777777" w:rsidR="00901CD5" w:rsidRPr="00EB075B" w:rsidRDefault="00901CD5" w:rsidP="004E71EA">
            <w:pPr>
              <w:pStyle w:val="HeaderPolicyno"/>
              <w:jc w:val="left"/>
              <w:rPr>
                <w:b/>
              </w:rPr>
            </w:pPr>
          </w:p>
        </w:tc>
        <w:tc>
          <w:tcPr>
            <w:tcW w:w="1907" w:type="dxa"/>
            <w:tcBorders>
              <w:top w:val="nil"/>
              <w:left w:val="nil"/>
              <w:bottom w:val="nil"/>
              <w:right w:val="nil"/>
            </w:tcBorders>
            <w:vAlign w:val="center"/>
          </w:tcPr>
          <w:p w14:paraId="58854B0E" w14:textId="5ABD7591" w:rsidR="00901CD5" w:rsidRDefault="00901CD5" w:rsidP="004E71EA">
            <w:pPr>
              <w:pStyle w:val="HeaderLabel"/>
              <w:jc w:val="right"/>
            </w:pPr>
            <w:r>
              <w:t xml:space="preserve">Page  </w:t>
            </w:r>
            <w:r w:rsidRPr="007A5126">
              <w:rPr>
                <w:sz w:val="20"/>
              </w:rPr>
              <w:fldChar w:fldCharType="begin"/>
            </w:r>
            <w:r w:rsidRPr="007A5126">
              <w:rPr>
                <w:sz w:val="20"/>
              </w:rPr>
              <w:instrText xml:space="preserve"> PAGE </w:instrText>
            </w:r>
            <w:r w:rsidRPr="007A5126">
              <w:rPr>
                <w:sz w:val="20"/>
              </w:rPr>
              <w:fldChar w:fldCharType="separate"/>
            </w:r>
            <w:r>
              <w:rPr>
                <w:noProof/>
                <w:sz w:val="20"/>
              </w:rPr>
              <w:t>1</w:t>
            </w:r>
            <w:r w:rsidRPr="007A5126">
              <w:rPr>
                <w:sz w:val="20"/>
              </w:rPr>
              <w:fldChar w:fldCharType="end"/>
            </w:r>
            <w:r w:rsidRPr="007A5126">
              <w:rPr>
                <w:sz w:val="20"/>
              </w:rPr>
              <w:t xml:space="preserve"> of </w:t>
            </w:r>
            <w:r w:rsidRPr="007A5126">
              <w:rPr>
                <w:sz w:val="20"/>
              </w:rPr>
              <w:fldChar w:fldCharType="begin"/>
            </w:r>
            <w:r w:rsidRPr="007A5126">
              <w:rPr>
                <w:sz w:val="20"/>
              </w:rPr>
              <w:instrText xml:space="preserve"> NUMPAGES </w:instrText>
            </w:r>
            <w:r w:rsidRPr="007A5126">
              <w:rPr>
                <w:sz w:val="20"/>
              </w:rPr>
              <w:fldChar w:fldCharType="separate"/>
            </w:r>
            <w:r w:rsidR="00241A52">
              <w:rPr>
                <w:noProof/>
                <w:sz w:val="20"/>
              </w:rPr>
              <w:t>6</w:t>
            </w:r>
            <w:r w:rsidRPr="007A5126">
              <w:rPr>
                <w:noProof/>
                <w:sz w:val="20"/>
              </w:rPr>
              <w:fldChar w:fldCharType="end"/>
            </w:r>
          </w:p>
        </w:tc>
      </w:tr>
    </w:tbl>
    <w:p w14:paraId="04914E49" w14:textId="77777777" w:rsidR="00901CD5" w:rsidRPr="00181B4B" w:rsidRDefault="00901CD5" w:rsidP="00901CD5">
      <w:pPr>
        <w:spacing w:after="0"/>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29" w:type="dxa"/>
        </w:tblCellMar>
        <w:tblLook w:val="04A0" w:firstRow="1" w:lastRow="0" w:firstColumn="1" w:lastColumn="0" w:noHBand="0" w:noVBand="1"/>
      </w:tblPr>
      <w:tblGrid>
        <w:gridCol w:w="761"/>
        <w:gridCol w:w="7233"/>
        <w:gridCol w:w="2086"/>
      </w:tblGrid>
      <w:tr w:rsidR="00901CD5" w:rsidRPr="00AF0EE0" w14:paraId="6C15F6BE" w14:textId="77777777" w:rsidTr="004E71EA">
        <w:trPr>
          <w:trHeight w:val="432"/>
        </w:trPr>
        <w:tc>
          <w:tcPr>
            <w:tcW w:w="763" w:type="dxa"/>
            <w:tcBorders>
              <w:top w:val="single" w:sz="4" w:space="0" w:color="auto"/>
              <w:bottom w:val="single" w:sz="4" w:space="0" w:color="auto"/>
            </w:tcBorders>
            <w:vAlign w:val="center"/>
          </w:tcPr>
          <w:p w14:paraId="5574E8B0" w14:textId="77777777" w:rsidR="00901CD5" w:rsidRPr="00EB075B" w:rsidRDefault="00901CD5" w:rsidP="004E71EA">
            <w:pPr>
              <w:pStyle w:val="Header"/>
              <w:rPr>
                <w:sz w:val="16"/>
              </w:rPr>
            </w:pPr>
            <w:r w:rsidRPr="00EB075B">
              <w:rPr>
                <w:rFonts w:cs="Arial"/>
                <w:sz w:val="16"/>
              </w:rPr>
              <w:t>Section</w:t>
            </w:r>
          </w:p>
        </w:tc>
        <w:tc>
          <w:tcPr>
            <w:tcW w:w="7290" w:type="dxa"/>
            <w:tcBorders>
              <w:top w:val="single" w:sz="4" w:space="0" w:color="auto"/>
              <w:bottom w:val="single" w:sz="4" w:space="0" w:color="auto"/>
              <w:right w:val="single" w:sz="4" w:space="0" w:color="auto"/>
            </w:tcBorders>
            <w:vAlign w:val="center"/>
          </w:tcPr>
          <w:p w14:paraId="010F7B30" w14:textId="77777777" w:rsidR="00901CD5" w:rsidRPr="00AC2996" w:rsidRDefault="00901CD5" w:rsidP="004E71EA">
            <w:pPr>
              <w:pStyle w:val="Header"/>
              <w:rPr>
                <w:sz w:val="20"/>
                <w:szCs w:val="20"/>
              </w:rPr>
            </w:pPr>
            <w:r w:rsidRPr="00AC2996">
              <w:rPr>
                <w:sz w:val="20"/>
                <w:szCs w:val="20"/>
              </w:rPr>
              <w:t>Accessibility</w:t>
            </w:r>
          </w:p>
        </w:tc>
        <w:tc>
          <w:tcPr>
            <w:tcW w:w="2099" w:type="dxa"/>
            <w:tcBorders>
              <w:top w:val="single" w:sz="4" w:space="0" w:color="auto"/>
              <w:left w:val="single" w:sz="4" w:space="0" w:color="auto"/>
            </w:tcBorders>
            <w:vAlign w:val="center"/>
          </w:tcPr>
          <w:p w14:paraId="49F58C58" w14:textId="77777777" w:rsidR="00901CD5" w:rsidRPr="00AF0EE0" w:rsidRDefault="00901CD5" w:rsidP="004E71EA">
            <w:pPr>
              <w:pStyle w:val="Header"/>
              <w:spacing w:before="120"/>
              <w:jc w:val="center"/>
              <w:rPr>
                <w:sz w:val="20"/>
              </w:rPr>
            </w:pPr>
            <w:r>
              <w:rPr>
                <w:rFonts w:cs="Arial"/>
                <w:sz w:val="16"/>
              </w:rPr>
              <w:t xml:space="preserve">Current Approval </w:t>
            </w:r>
            <w:r w:rsidRPr="00EB075B">
              <w:rPr>
                <w:rFonts w:cs="Arial"/>
                <w:sz w:val="16"/>
              </w:rPr>
              <w:t>Date</w:t>
            </w:r>
          </w:p>
        </w:tc>
      </w:tr>
      <w:tr w:rsidR="00901CD5" w:rsidRPr="00AF0EE0" w14:paraId="77EBAFFF" w14:textId="77777777" w:rsidTr="004E71EA">
        <w:trPr>
          <w:trHeight w:val="432"/>
        </w:trPr>
        <w:tc>
          <w:tcPr>
            <w:tcW w:w="763" w:type="dxa"/>
            <w:tcBorders>
              <w:top w:val="single" w:sz="4" w:space="0" w:color="auto"/>
              <w:bottom w:val="single" w:sz="4" w:space="0" w:color="auto"/>
            </w:tcBorders>
          </w:tcPr>
          <w:p w14:paraId="21A7B61C" w14:textId="77777777" w:rsidR="00901CD5" w:rsidRPr="00EB075B" w:rsidRDefault="00901CD5" w:rsidP="004E71EA">
            <w:pPr>
              <w:pStyle w:val="Header"/>
              <w:spacing w:before="120"/>
              <w:rPr>
                <w:sz w:val="16"/>
              </w:rPr>
            </w:pPr>
            <w:r w:rsidRPr="00EB075B">
              <w:rPr>
                <w:rFonts w:cs="Arial"/>
                <w:sz w:val="16"/>
              </w:rPr>
              <w:t>Subject</w:t>
            </w:r>
          </w:p>
        </w:tc>
        <w:tc>
          <w:tcPr>
            <w:tcW w:w="7290" w:type="dxa"/>
            <w:tcBorders>
              <w:top w:val="single" w:sz="4" w:space="0" w:color="auto"/>
              <w:bottom w:val="single" w:sz="4" w:space="0" w:color="auto"/>
              <w:right w:val="single" w:sz="4" w:space="0" w:color="auto"/>
            </w:tcBorders>
          </w:tcPr>
          <w:p w14:paraId="3A0216FB" w14:textId="77777777" w:rsidR="00901CD5" w:rsidRPr="00AF0EE0" w:rsidRDefault="00901CD5" w:rsidP="004E71EA">
            <w:pPr>
              <w:pStyle w:val="Header"/>
              <w:spacing w:before="80"/>
            </w:pPr>
            <w:r>
              <w:rPr>
                <w:sz w:val="20"/>
              </w:rPr>
              <w:t xml:space="preserve">Service Animal Policy </w:t>
            </w:r>
          </w:p>
        </w:tc>
        <w:tc>
          <w:tcPr>
            <w:tcW w:w="2099" w:type="dxa"/>
            <w:tcBorders>
              <w:left w:val="single" w:sz="4" w:space="0" w:color="auto"/>
              <w:bottom w:val="single" w:sz="4" w:space="0" w:color="auto"/>
            </w:tcBorders>
            <w:vAlign w:val="center"/>
          </w:tcPr>
          <w:p w14:paraId="7D38679B" w14:textId="77777777" w:rsidR="00901CD5" w:rsidRPr="00AF0EE0" w:rsidRDefault="00901CD5" w:rsidP="004E71EA">
            <w:pPr>
              <w:pStyle w:val="Header"/>
              <w:jc w:val="center"/>
              <w:rPr>
                <w:sz w:val="20"/>
              </w:rPr>
            </w:pPr>
            <w:r>
              <w:rPr>
                <w:sz w:val="20"/>
              </w:rPr>
              <w:t>March 3, 2026</w:t>
            </w:r>
          </w:p>
        </w:tc>
      </w:tr>
    </w:tbl>
    <w:p w14:paraId="11692B9D" w14:textId="77777777" w:rsidR="00416A07" w:rsidRDefault="00416A07" w:rsidP="004F553D">
      <w:pPr>
        <w:pStyle w:val="Header"/>
      </w:pPr>
    </w:p>
    <w:bookmarkEnd w:id="0"/>
    <w:p w14:paraId="59ECD8A2" w14:textId="77777777" w:rsidR="007F0B55" w:rsidRDefault="00593BB7" w:rsidP="00240717">
      <w:pPr>
        <w:pStyle w:val="Heading4"/>
        <w:spacing w:before="0" w:after="120"/>
      </w:pPr>
      <w:r>
        <w:t>PURPOSE</w:t>
      </w:r>
    </w:p>
    <w:p w14:paraId="6E3F9338" w14:textId="0794C3E1" w:rsidR="007F0B55" w:rsidRDefault="000C75CB" w:rsidP="00593BB7">
      <w:pPr>
        <w:pStyle w:val="Note"/>
        <w:ind w:left="0" w:firstLine="0"/>
      </w:pPr>
      <w:r>
        <w:t xml:space="preserve">The purpose of this policy is to establish guidelines and requirements relating to customers </w:t>
      </w:r>
      <w:r w:rsidR="005E4C8F">
        <w:t xml:space="preserve">with a </w:t>
      </w:r>
      <w:r w:rsidR="00F24220">
        <w:t>Service Animal</w:t>
      </w:r>
      <w:r w:rsidR="005E4C8F">
        <w:t xml:space="preserve"> travelling on Metrolinx vehicles and while attending Metrolinx properties</w:t>
      </w:r>
      <w:r>
        <w:t xml:space="preserve">. It serves to reduce instances that create risks of unclear staff guidance and </w:t>
      </w:r>
      <w:r w:rsidR="006B4960">
        <w:t xml:space="preserve">to provide positive </w:t>
      </w:r>
      <w:r>
        <w:t>customer experiences.</w:t>
      </w:r>
    </w:p>
    <w:p w14:paraId="3A70666F" w14:textId="782765B3" w:rsidR="006B4960" w:rsidRPr="00EA362B" w:rsidRDefault="00024B9A" w:rsidP="00D469D5">
      <w:pPr>
        <w:pStyle w:val="Heading4"/>
        <w:spacing w:before="360" w:after="120"/>
        <w:rPr>
          <w:caps w:val="0"/>
        </w:rPr>
      </w:pPr>
      <w:r w:rsidRPr="003F778F">
        <w:t>POLICY STATEMENT</w:t>
      </w:r>
    </w:p>
    <w:p w14:paraId="450067CA" w14:textId="7B17C8E6" w:rsidR="00C61118" w:rsidRPr="003F778F" w:rsidRDefault="00C61118" w:rsidP="00C61118">
      <w:r>
        <w:t xml:space="preserve">Metrolinx is committed to providing an accessible and inclusive environment for all customers. </w:t>
      </w:r>
      <w:r w:rsidR="00F24220">
        <w:t>Service Animal</w:t>
      </w:r>
      <w:r>
        <w:t xml:space="preserve">s are welcome on all Metrolinx </w:t>
      </w:r>
      <w:r w:rsidR="405FA811">
        <w:t xml:space="preserve">transportation </w:t>
      </w:r>
      <w:r>
        <w:t xml:space="preserve">and properties, in accordance with the </w:t>
      </w:r>
      <w:hyperlink r:id="rId11">
        <w:r w:rsidRPr="00DF0FDF">
          <w:rPr>
            <w:rStyle w:val="Hyperlink"/>
            <w:i/>
            <w:iCs/>
            <w:u w:val="none"/>
          </w:rPr>
          <w:t>Accessibility for Ontarians with Disabilities Act</w:t>
        </w:r>
      </w:hyperlink>
      <w:r w:rsidRPr="6533CCF9">
        <w:rPr>
          <w:i/>
          <w:iCs/>
        </w:rPr>
        <w:t xml:space="preserve"> </w:t>
      </w:r>
      <w:r>
        <w:t>(AODA)</w:t>
      </w:r>
      <w:r w:rsidR="00842A1B">
        <w:t xml:space="preserve">, </w:t>
      </w:r>
      <w:r>
        <w:t xml:space="preserve">the </w:t>
      </w:r>
      <w:hyperlink r:id="rId12">
        <w:r w:rsidR="006B4960">
          <w:rPr>
            <w:rStyle w:val="Hyperlink"/>
            <w:u w:val="none"/>
          </w:rPr>
          <w:t xml:space="preserve">Ontario </w:t>
        </w:r>
        <w:r w:rsidR="006B4960" w:rsidRPr="00DF0FDF">
          <w:rPr>
            <w:rStyle w:val="Hyperlink"/>
            <w:i/>
            <w:iCs/>
            <w:u w:val="none"/>
          </w:rPr>
          <w:t>Human Rights Code</w:t>
        </w:r>
      </w:hyperlink>
      <w:r>
        <w:t xml:space="preserve"> (</w:t>
      </w:r>
      <w:r w:rsidR="000A73AF">
        <w:t>The Code</w:t>
      </w:r>
      <w:r>
        <w:t xml:space="preserve">) </w:t>
      </w:r>
      <w:r w:rsidR="50F60B03">
        <w:t xml:space="preserve">and the </w:t>
      </w:r>
      <w:r w:rsidR="50F60B03" w:rsidRPr="00DF0FDF">
        <w:rPr>
          <w:i/>
          <w:iCs/>
        </w:rPr>
        <w:t>Blind Person’s Rights Act</w:t>
      </w:r>
      <w:r w:rsidR="50F60B03">
        <w:t xml:space="preserve">. </w:t>
      </w:r>
    </w:p>
    <w:p w14:paraId="62F999FA" w14:textId="77777777" w:rsidR="00774502" w:rsidRDefault="1022069F" w:rsidP="00571F26">
      <w:r>
        <w:t>This policy is publicly available to ensure transparency and consistency in application across GO Transit, UP Express, and other Metrolinx services.</w:t>
      </w:r>
    </w:p>
    <w:p w14:paraId="09C6D76B" w14:textId="34C6FF43" w:rsidR="00571F26" w:rsidRPr="003F778F" w:rsidRDefault="1022069F" w:rsidP="00116781">
      <w:pPr>
        <w:ind w:left="1080" w:hanging="720"/>
      </w:pPr>
      <w:r w:rsidRPr="5D56380A">
        <w:rPr>
          <w:b/>
          <w:bCs/>
        </w:rPr>
        <w:t>Note:</w:t>
      </w:r>
      <w:r w:rsidR="00116781">
        <w:rPr>
          <w:b/>
          <w:bCs/>
        </w:rPr>
        <w:tab/>
      </w:r>
      <w:r>
        <w:t>This policy is not superseded by any of the requirements in the Metrolinx Pet Policy</w:t>
      </w:r>
      <w:r w:rsidR="00774502">
        <w:t xml:space="preserve"> </w:t>
      </w:r>
      <w:r>
        <w:t xml:space="preserve">(Issue Date: </w:t>
      </w:r>
      <w:r w:rsidR="649F4B17">
        <w:t>October 27, 2022)</w:t>
      </w:r>
      <w:r>
        <w:t xml:space="preserve"> or Metrolinx by-law No 2. (section 3).</w:t>
      </w:r>
    </w:p>
    <w:p w14:paraId="17FFB96B" w14:textId="208C66D5" w:rsidR="00125DFB" w:rsidRPr="003F778F" w:rsidRDefault="00024B9A" w:rsidP="00DC2569">
      <w:pPr>
        <w:pStyle w:val="Heading4"/>
        <w:spacing w:before="360" w:after="120"/>
      </w:pPr>
      <w:r w:rsidRPr="003F778F">
        <w:rPr>
          <w:caps w:val="0"/>
        </w:rPr>
        <w:t xml:space="preserve">SCOPE &amp; APPLICATION </w:t>
      </w:r>
    </w:p>
    <w:p w14:paraId="724DD1EF" w14:textId="77777777" w:rsidR="00116781" w:rsidRDefault="000C5173" w:rsidP="000C5173">
      <w:pPr>
        <w:pStyle w:val="Note"/>
        <w:ind w:left="0" w:firstLine="0"/>
      </w:pPr>
      <w:r>
        <w:t xml:space="preserve">This policy applies to all Metrolinx </w:t>
      </w:r>
      <w:r w:rsidR="00514B35">
        <w:t>staff</w:t>
      </w:r>
      <w:r>
        <w:t xml:space="preserve"> and contractors who interact with customers, as well as all customers travelling on Metrolinx services</w:t>
      </w:r>
      <w:r w:rsidR="00802953">
        <w:t xml:space="preserve"> </w:t>
      </w:r>
      <w:r w:rsidR="00802953" w:rsidRPr="00802953">
        <w:t xml:space="preserve">with Service Animals across Metrolinx </w:t>
      </w:r>
      <w:r w:rsidR="00802953">
        <w:t>property.</w:t>
      </w:r>
    </w:p>
    <w:p w14:paraId="2827A8B5" w14:textId="466C766A" w:rsidR="000C5173" w:rsidRDefault="00802953" w:rsidP="00116781">
      <w:pPr>
        <w:pStyle w:val="Note"/>
        <w:ind w:hanging="720"/>
      </w:pPr>
      <w:r w:rsidRPr="001B32E3">
        <w:rPr>
          <w:rFonts w:eastAsia="Arial" w:cs="Arial"/>
          <w:b/>
          <w:bCs w:val="0"/>
        </w:rPr>
        <w:t>Note:</w:t>
      </w:r>
      <w:r w:rsidR="006E7F2A">
        <w:rPr>
          <w:rFonts w:eastAsia="Arial" w:cs="Arial"/>
        </w:rPr>
        <w:tab/>
      </w:r>
      <w:r w:rsidR="0B77B5B7" w:rsidRPr="4EB1560C">
        <w:rPr>
          <w:rFonts w:eastAsia="Arial" w:cs="Arial"/>
        </w:rPr>
        <w:t>‘</w:t>
      </w:r>
      <w:r w:rsidR="452B8984" w:rsidRPr="4EB1560C">
        <w:rPr>
          <w:rFonts w:eastAsia="Arial" w:cs="Arial"/>
        </w:rPr>
        <w:t>Property’</w:t>
      </w:r>
      <w:r w:rsidRPr="001B32E3">
        <w:rPr>
          <w:rFonts w:eastAsia="Arial" w:cs="Arial"/>
        </w:rPr>
        <w:t xml:space="preserve"> refers to any </w:t>
      </w:r>
      <w:r w:rsidR="452B8984" w:rsidRPr="4EB1560C">
        <w:rPr>
          <w:rFonts w:eastAsia="Arial" w:cs="Arial"/>
        </w:rPr>
        <w:t>GO Transit or UP Express station, facility</w:t>
      </w:r>
      <w:r w:rsidRPr="001B32E3">
        <w:rPr>
          <w:rFonts w:eastAsia="Arial" w:cs="Arial"/>
        </w:rPr>
        <w:t xml:space="preserve"> or vehicle managed by Metrolinx that a customer may access </w:t>
      </w:r>
      <w:r w:rsidR="00D538AE" w:rsidRPr="001B32E3">
        <w:rPr>
          <w:rFonts w:eastAsia="Arial" w:cs="Arial"/>
        </w:rPr>
        <w:t>during</w:t>
      </w:r>
      <w:r w:rsidRPr="001B32E3">
        <w:rPr>
          <w:rFonts w:eastAsia="Arial" w:cs="Arial"/>
        </w:rPr>
        <w:t xml:space="preserve"> their journey.</w:t>
      </w:r>
    </w:p>
    <w:p w14:paraId="1E8E52F7" w14:textId="77777777" w:rsidR="006E7F2A" w:rsidRDefault="00E85679" w:rsidP="00707AD9">
      <w:r>
        <w:t xml:space="preserve">Metrolinx staff </w:t>
      </w:r>
      <w:r w:rsidR="00E51A57">
        <w:t xml:space="preserve">must </w:t>
      </w:r>
      <w:r>
        <w:t>follow the policy</w:t>
      </w:r>
      <w:r w:rsidR="00E51A57">
        <w:t xml:space="preserve"> when serving customers who </w:t>
      </w:r>
      <w:r w:rsidR="43E63D72">
        <w:t xml:space="preserve">travel with a Service Animal. </w:t>
      </w:r>
      <w:r w:rsidR="00E51A57">
        <w:t xml:space="preserve">It applies to both unionized and non-union staff. </w:t>
      </w:r>
      <w:r w:rsidR="003F44BF">
        <w:t xml:space="preserve">Metrolinx </w:t>
      </w:r>
      <w:r w:rsidR="00E51A57">
        <w:t>staff</w:t>
      </w:r>
      <w:r w:rsidR="003F44BF">
        <w:t xml:space="preserve"> and business units are responsible for meeting </w:t>
      </w:r>
      <w:r w:rsidR="00733E57">
        <w:t>Service Animal obligations</w:t>
      </w:r>
      <w:r w:rsidR="003F44BF">
        <w:t xml:space="preserve"> when providing goods, services, and access to Metrolinx facilities</w:t>
      </w:r>
      <w:r>
        <w:t>,</w:t>
      </w:r>
      <w:r w:rsidR="003F44BF">
        <w:t xml:space="preserve"> including GO Transit, UP Express, and all PRESTO devices.</w:t>
      </w:r>
    </w:p>
    <w:p w14:paraId="0CB6024F" w14:textId="1FBB5035" w:rsidR="000C5173" w:rsidRDefault="00D93A95" w:rsidP="006E7F2A">
      <w:pPr>
        <w:spacing w:after="120"/>
      </w:pPr>
      <w:r>
        <w:t>This policy, in accordance with the Code</w:t>
      </w:r>
      <w:r w:rsidR="00E85679">
        <w:t>,</w:t>
      </w:r>
      <w:r>
        <w:t xml:space="preserve"> shall:</w:t>
      </w:r>
    </w:p>
    <w:p w14:paraId="3D834FB7" w14:textId="766B5329" w:rsidR="000C5173" w:rsidRPr="007E2712" w:rsidRDefault="000C5173" w:rsidP="00707AD9">
      <w:pPr>
        <w:pStyle w:val="Note"/>
        <w:numPr>
          <w:ilvl w:val="0"/>
          <w:numId w:val="14"/>
        </w:numPr>
        <w:spacing w:after="120"/>
      </w:pPr>
      <w:r w:rsidRPr="007E2712">
        <w:t xml:space="preserve">Prohibit </w:t>
      </w:r>
      <w:r>
        <w:t xml:space="preserve">the </w:t>
      </w:r>
      <w:r w:rsidRPr="007E2712">
        <w:t xml:space="preserve">denial of service to a person with a disability because of their </w:t>
      </w:r>
      <w:r w:rsidR="00F24220">
        <w:t>Service Animal</w:t>
      </w:r>
      <w:r w:rsidRPr="007E2712">
        <w:t>.</w:t>
      </w:r>
    </w:p>
    <w:p w14:paraId="7195F01A" w14:textId="26626524" w:rsidR="000C5173" w:rsidRPr="003829C6" w:rsidRDefault="000C5173" w:rsidP="003E17EB">
      <w:pPr>
        <w:pStyle w:val="Note"/>
        <w:numPr>
          <w:ilvl w:val="0"/>
          <w:numId w:val="14"/>
        </w:numPr>
        <w:spacing w:after="120"/>
      </w:pPr>
      <w:r w:rsidRPr="785DDCE8">
        <w:rPr>
          <w:lang w:val="en-US"/>
        </w:rPr>
        <w:t xml:space="preserve">Take precedence over other </w:t>
      </w:r>
      <w:r w:rsidR="791D9722" w:rsidRPr="5CB96424">
        <w:rPr>
          <w:lang w:val="en-US"/>
        </w:rPr>
        <w:t>rules</w:t>
      </w:r>
      <w:r w:rsidRPr="785DDCE8">
        <w:rPr>
          <w:lang w:val="en-US"/>
        </w:rPr>
        <w:t xml:space="preserve"> (</w:t>
      </w:r>
      <w:r w:rsidR="00FF44E0" w:rsidRPr="785DDCE8">
        <w:rPr>
          <w:lang w:val="en-US"/>
        </w:rPr>
        <w:t>e.g.,</w:t>
      </w:r>
      <w:r w:rsidRPr="785DDCE8">
        <w:rPr>
          <w:lang w:val="en-US"/>
        </w:rPr>
        <w:t xml:space="preserve"> </w:t>
      </w:r>
      <w:proofErr w:type="gramStart"/>
      <w:r w:rsidRPr="785DDCE8">
        <w:rPr>
          <w:lang w:val="en-US"/>
        </w:rPr>
        <w:t>a ‘no</w:t>
      </w:r>
      <w:proofErr w:type="gramEnd"/>
      <w:r w:rsidRPr="785DDCE8">
        <w:rPr>
          <w:lang w:val="en-US"/>
        </w:rPr>
        <w:t xml:space="preserve"> animals’ policy in a private or public building) in cases of conflict.</w:t>
      </w:r>
    </w:p>
    <w:p w14:paraId="0C3D59C4" w14:textId="23BF14F6" w:rsidR="00FA5D04" w:rsidRDefault="000C5173" w:rsidP="00FA5D04">
      <w:pPr>
        <w:pStyle w:val="Note"/>
        <w:spacing w:after="120"/>
        <w:ind w:hanging="720"/>
        <w:rPr>
          <w:lang w:val="en-US"/>
        </w:rPr>
      </w:pPr>
      <w:r w:rsidRPr="706A178C">
        <w:rPr>
          <w:b/>
          <w:lang w:val="en-US"/>
        </w:rPr>
        <w:t>Note:</w:t>
      </w:r>
      <w:r w:rsidR="00FA5D04">
        <w:rPr>
          <w:lang w:val="en-US"/>
        </w:rPr>
        <w:tab/>
      </w:r>
      <w:r w:rsidR="5031CA88" w:rsidRPr="5CB96424">
        <w:rPr>
          <w:lang w:val="en-US"/>
        </w:rPr>
        <w:t>In limited circumstances,</w:t>
      </w:r>
      <w:r w:rsidRPr="706A178C">
        <w:rPr>
          <w:lang w:val="en-US"/>
        </w:rPr>
        <w:t xml:space="preserve"> accommodation </w:t>
      </w:r>
      <w:r w:rsidR="5031CA88" w:rsidRPr="5CB96424">
        <w:rPr>
          <w:lang w:val="en-US"/>
        </w:rPr>
        <w:t xml:space="preserve">for a </w:t>
      </w:r>
      <w:r w:rsidR="00F24220">
        <w:rPr>
          <w:lang w:val="en-US"/>
        </w:rPr>
        <w:t>Service Animal</w:t>
      </w:r>
      <w:r w:rsidR="5031CA88" w:rsidRPr="5CB96424">
        <w:rPr>
          <w:lang w:val="en-US"/>
        </w:rPr>
        <w:t xml:space="preserve"> may </w:t>
      </w:r>
      <w:r w:rsidRPr="706A178C">
        <w:rPr>
          <w:lang w:val="en-US"/>
        </w:rPr>
        <w:t>not</w:t>
      </w:r>
      <w:r w:rsidR="5031CA88" w:rsidRPr="5CB96424">
        <w:rPr>
          <w:lang w:val="en-US"/>
        </w:rPr>
        <w:t xml:space="preserve"> be</w:t>
      </w:r>
      <w:r w:rsidR="006E7F2A">
        <w:rPr>
          <w:lang w:val="en-US"/>
        </w:rPr>
        <w:t xml:space="preserve"> </w:t>
      </w:r>
      <w:r w:rsidR="5031CA88" w:rsidRPr="5CB96424">
        <w:rPr>
          <w:lang w:val="en-US"/>
        </w:rPr>
        <w:t>possible</w:t>
      </w:r>
      <w:r w:rsidR="001B32E3">
        <w:rPr>
          <w:lang w:val="en-US"/>
        </w:rPr>
        <w:t xml:space="preserve"> </w:t>
      </w:r>
      <w:r w:rsidR="5031CA88" w:rsidRPr="5CB96424">
        <w:rPr>
          <w:lang w:val="en-US"/>
        </w:rPr>
        <w:t>for health and safety reasons</w:t>
      </w:r>
      <w:r w:rsidRPr="706A178C">
        <w:rPr>
          <w:lang w:val="en-US"/>
        </w:rPr>
        <w:t xml:space="preserve"> (e.g., if the </w:t>
      </w:r>
      <w:r w:rsidR="00F24220">
        <w:rPr>
          <w:lang w:val="en-US"/>
        </w:rPr>
        <w:t>Service Animal</w:t>
      </w:r>
      <w:r w:rsidRPr="706A178C">
        <w:rPr>
          <w:lang w:val="en-US"/>
        </w:rPr>
        <w:t xml:space="preserve"> cannot be</w:t>
      </w:r>
      <w:r w:rsidR="00FA5D04">
        <w:rPr>
          <w:lang w:val="en-US"/>
        </w:rPr>
        <w:t xml:space="preserve"> </w:t>
      </w:r>
      <w:r w:rsidRPr="706A178C">
        <w:rPr>
          <w:lang w:val="en-US"/>
        </w:rPr>
        <w:t>safely</w:t>
      </w:r>
      <w:r w:rsidR="38DBA929" w:rsidRPr="4EB1560C">
        <w:rPr>
          <w:lang w:val="en-US"/>
        </w:rPr>
        <w:t xml:space="preserve"> </w:t>
      </w:r>
      <w:r w:rsidR="38DBA929" w:rsidRPr="007C39B5">
        <w:rPr>
          <w:lang w:val="en-US"/>
        </w:rPr>
        <w:t>managed</w:t>
      </w:r>
      <w:r w:rsidR="64B911CD" w:rsidRPr="007C39B5">
        <w:rPr>
          <w:lang w:val="en-US"/>
        </w:rPr>
        <w:t xml:space="preserve"> </w:t>
      </w:r>
      <w:r w:rsidR="38DBA929" w:rsidRPr="007C39B5">
        <w:rPr>
          <w:lang w:val="en-US"/>
        </w:rPr>
        <w:t>or contained</w:t>
      </w:r>
      <w:r w:rsidR="00206FE3">
        <w:rPr>
          <w:lang w:val="en-US"/>
        </w:rPr>
        <w:t>,</w:t>
      </w:r>
      <w:r w:rsidR="09E6A6DF" w:rsidRPr="007C39B5">
        <w:rPr>
          <w:lang w:val="en-US"/>
        </w:rPr>
        <w:t xml:space="preserve"> see </w:t>
      </w:r>
      <w:hyperlink w:anchor="GeneralRules" w:history="1">
        <w:r w:rsidR="09E6A6DF" w:rsidRPr="007C39B5">
          <w:rPr>
            <w:rStyle w:val="Hyperlink"/>
            <w:u w:val="none"/>
            <w:lang w:val="en-US"/>
          </w:rPr>
          <w:t>General Rules for</w:t>
        </w:r>
        <w:r w:rsidR="00FA5D04">
          <w:rPr>
            <w:rStyle w:val="Hyperlink"/>
            <w:u w:val="none"/>
            <w:lang w:val="en-US"/>
          </w:rPr>
          <w:t xml:space="preserve"> </w:t>
        </w:r>
        <w:r w:rsidR="09E6A6DF" w:rsidRPr="007C39B5">
          <w:rPr>
            <w:rStyle w:val="Hyperlink"/>
            <w:u w:val="none"/>
            <w:lang w:val="en-US"/>
          </w:rPr>
          <w:t xml:space="preserve">Traveling with </w:t>
        </w:r>
        <w:r w:rsidR="2EAD7FC1" w:rsidRPr="007C39B5">
          <w:rPr>
            <w:rStyle w:val="Hyperlink"/>
            <w:u w:val="none"/>
            <w:lang w:val="en-US"/>
          </w:rPr>
          <w:t xml:space="preserve">a </w:t>
        </w:r>
        <w:r w:rsidR="09E6A6DF" w:rsidRPr="007C39B5">
          <w:rPr>
            <w:rStyle w:val="Hyperlink"/>
            <w:u w:val="none"/>
            <w:lang w:val="en-US"/>
          </w:rPr>
          <w:t>Service Animal</w:t>
        </w:r>
      </w:hyperlink>
      <w:r w:rsidR="09E6A6DF" w:rsidRPr="007C39B5">
        <w:rPr>
          <w:lang w:val="en-US"/>
        </w:rPr>
        <w:t>).</w:t>
      </w:r>
    </w:p>
    <w:p w14:paraId="40AD9C99" w14:textId="48738509" w:rsidR="00382360" w:rsidRDefault="00260408" w:rsidP="00F2050E">
      <w:pPr>
        <w:pStyle w:val="Note"/>
        <w:spacing w:after="120"/>
        <w:ind w:left="0" w:firstLine="0"/>
        <w:contextualSpacing/>
      </w:pPr>
      <w:r w:rsidRPr="001B32E3">
        <w:rPr>
          <w:rFonts w:eastAsia="Arial" w:cs="Arial"/>
        </w:rPr>
        <w:lastRenderedPageBreak/>
        <w:t>Th</w:t>
      </w:r>
      <w:r>
        <w:rPr>
          <w:rFonts w:eastAsia="Arial" w:cs="Arial"/>
        </w:rPr>
        <w:t>e</w:t>
      </w:r>
      <w:r w:rsidRPr="001B32E3">
        <w:rPr>
          <w:rFonts w:eastAsia="Arial" w:cs="Arial"/>
        </w:rPr>
        <w:t xml:space="preserve"> policy </w:t>
      </w:r>
      <w:r w:rsidR="73998EC3" w:rsidRPr="4EB1560C">
        <w:rPr>
          <w:rFonts w:eastAsia="Arial" w:cs="Arial"/>
        </w:rPr>
        <w:t>is</w:t>
      </w:r>
      <w:r>
        <w:rPr>
          <w:rFonts w:eastAsia="Arial"/>
        </w:rPr>
        <w:t xml:space="preserve"> </w:t>
      </w:r>
      <w:r w:rsidR="00A63A89">
        <w:t xml:space="preserve">publicly </w:t>
      </w:r>
      <w:r>
        <w:t xml:space="preserve">available </w:t>
      </w:r>
      <w:r>
        <w:rPr>
          <w:rFonts w:eastAsia="Arial"/>
        </w:rPr>
        <w:t xml:space="preserve">to </w:t>
      </w:r>
      <w:r>
        <w:t xml:space="preserve">ensure </w:t>
      </w:r>
      <w:r w:rsidR="00A63A89">
        <w:t>transparency for</w:t>
      </w:r>
      <w:r w:rsidRPr="4EA83962">
        <w:rPr>
          <w:rFonts w:eastAsia="Arial" w:cs="Arial"/>
        </w:rPr>
        <w:t xml:space="preserve"> all customers</w:t>
      </w:r>
      <w:r w:rsidR="1AF9E881" w:rsidRPr="4EA83962">
        <w:rPr>
          <w:rFonts w:eastAsia="Arial" w:cs="Arial"/>
        </w:rPr>
        <w:t>.</w:t>
      </w:r>
      <w:r w:rsidR="00825C69">
        <w:rPr>
          <w:rFonts w:eastAsia="Arial" w:cs="Arial"/>
        </w:rPr>
        <w:t xml:space="preserve"> </w:t>
      </w:r>
      <w:r w:rsidR="6A2E1412">
        <w:t xml:space="preserve">Customers can share feedback relating to their use of </w:t>
      </w:r>
      <w:r w:rsidR="2CD8F38B">
        <w:t>Service Animals</w:t>
      </w:r>
      <w:r w:rsidR="6A2E1412">
        <w:t xml:space="preserve"> on Metrolinx systems through the </w:t>
      </w:r>
      <w:hyperlink r:id="rId13">
        <w:r w:rsidR="6A2E1412" w:rsidRPr="4EB1560C">
          <w:rPr>
            <w:rStyle w:val="Hyperlink"/>
            <w:u w:val="none"/>
          </w:rPr>
          <w:t>GO Transit Inquiries and Feedback Process page</w:t>
        </w:r>
      </w:hyperlink>
      <w:r w:rsidR="6A2E1412">
        <w:t>.</w:t>
      </w:r>
    </w:p>
    <w:p w14:paraId="49B82E28" w14:textId="389AD617" w:rsidR="0008726E" w:rsidRPr="003F778F" w:rsidRDefault="00024B9A" w:rsidP="00DC2569">
      <w:pPr>
        <w:pStyle w:val="Heading4"/>
        <w:spacing w:before="360" w:after="120"/>
      </w:pPr>
      <w:r w:rsidRPr="003F778F">
        <w:rPr>
          <w:caps w:val="0"/>
        </w:rPr>
        <w:t>SPECIFIC DIRECTIVES</w:t>
      </w:r>
    </w:p>
    <w:p w14:paraId="45AF9142" w14:textId="1E107161" w:rsidR="008C50B6" w:rsidRDefault="0F4E40F9" w:rsidP="005A200A">
      <w:pPr>
        <w:pStyle w:val="Note"/>
        <w:spacing w:after="120"/>
        <w:ind w:left="0" w:firstLine="0"/>
      </w:pPr>
      <w:r w:rsidRPr="5CB96424">
        <w:t>The following requirements and actions shall occur in accordance with this policy</w:t>
      </w:r>
      <w:r w:rsidR="008C50B6" w:rsidRPr="5CB96424">
        <w:t>:</w:t>
      </w:r>
    </w:p>
    <w:p w14:paraId="7B64693D" w14:textId="0B74977F" w:rsidR="008C50B6" w:rsidRPr="00D3279A" w:rsidRDefault="008C50B6" w:rsidP="0063793F">
      <w:pPr>
        <w:pStyle w:val="Heading6"/>
        <w:spacing w:after="120"/>
        <w:ind w:left="360" w:hanging="360"/>
      </w:pPr>
      <w:r>
        <w:t xml:space="preserve">1. </w:t>
      </w:r>
      <w:r w:rsidR="00482F04">
        <w:tab/>
      </w:r>
      <w:r>
        <w:t xml:space="preserve">Customer communications re: </w:t>
      </w:r>
      <w:r w:rsidR="00F24220">
        <w:t>Service Animal</w:t>
      </w:r>
      <w:r w:rsidR="3CF9BE03">
        <w:t>s</w:t>
      </w:r>
    </w:p>
    <w:p w14:paraId="3F880C45" w14:textId="50773FB0" w:rsidR="3CF9BE03" w:rsidRDefault="3CF9BE03" w:rsidP="1969088B">
      <w:pPr>
        <w:pStyle w:val="Note"/>
        <w:numPr>
          <w:ilvl w:val="0"/>
          <w:numId w:val="12"/>
        </w:numPr>
        <w:rPr>
          <w:rFonts w:eastAsia="Arial" w:cs="Arial"/>
        </w:rPr>
      </w:pPr>
      <w:r w:rsidRPr="1969088B">
        <w:rPr>
          <w:rFonts w:eastAsia="Arial" w:cs="Arial"/>
        </w:rPr>
        <w:t>Publication of the customer-facing Metrolinx Service Animal Policy to inform staff and customers of the acceptance of Service Animals onto premises and within vehicles to gain access to Metrolinx services.</w:t>
      </w:r>
    </w:p>
    <w:p w14:paraId="15B10858" w14:textId="5C524D77" w:rsidR="008C50B6" w:rsidRPr="00D3279A" w:rsidRDefault="008C50B6" w:rsidP="00482F04">
      <w:pPr>
        <w:pStyle w:val="Heading6"/>
        <w:spacing w:after="120"/>
        <w:ind w:left="360" w:hanging="360"/>
      </w:pPr>
      <w:r>
        <w:t xml:space="preserve">2. </w:t>
      </w:r>
      <w:r w:rsidR="00482F04">
        <w:tab/>
      </w:r>
      <w:r w:rsidR="00F24220">
        <w:t>Service Animal</w:t>
      </w:r>
      <w:r>
        <w:t xml:space="preserve"> Eligibility</w:t>
      </w:r>
    </w:p>
    <w:p w14:paraId="78A3D240" w14:textId="5CAEC31A" w:rsidR="50BB8733" w:rsidRDefault="1B712A4C" w:rsidP="00F4653C">
      <w:pPr>
        <w:pStyle w:val="ListParagraph"/>
        <w:numPr>
          <w:ilvl w:val="0"/>
          <w:numId w:val="15"/>
        </w:numPr>
        <w:spacing w:after="120"/>
        <w:contextualSpacing w:val="0"/>
        <w:rPr>
          <w:rFonts w:eastAsia="Arial" w:cs="Arial"/>
        </w:rPr>
      </w:pPr>
      <w:r w:rsidRPr="1969088B">
        <w:rPr>
          <w:rFonts w:eastAsia="Arial" w:cs="Arial"/>
        </w:rPr>
        <w:t>Station staff (e.g., Station Ambassadors, Duty Managers) shall not unlawfully restrict access to stations and vehicles for customers travelling with Service Animals.</w:t>
      </w:r>
    </w:p>
    <w:p w14:paraId="688FB02B" w14:textId="02A976C7" w:rsidR="50BB8733" w:rsidRDefault="1B712A4C" w:rsidP="00F4653C">
      <w:pPr>
        <w:pStyle w:val="ListParagraph"/>
        <w:numPr>
          <w:ilvl w:val="0"/>
          <w:numId w:val="15"/>
        </w:numPr>
        <w:spacing w:after="120"/>
        <w:contextualSpacing w:val="0"/>
        <w:rPr>
          <w:rFonts w:eastAsia="Arial" w:cs="Arial"/>
          <w:color w:val="000000" w:themeColor="text1"/>
        </w:rPr>
      </w:pPr>
      <w:r w:rsidRPr="1969088B">
        <w:rPr>
          <w:rFonts w:eastAsia="Arial" w:cs="Arial"/>
          <w:color w:val="000000" w:themeColor="text1"/>
        </w:rPr>
        <w:t>Customers travelling with Service Animals are permitted on Metrolinx vehicles, property and facilities anywhere that the public is generally permitted, with the exceptions below.</w:t>
      </w:r>
    </w:p>
    <w:p w14:paraId="3EFE0251" w14:textId="0E3069CE" w:rsidR="50BB8733" w:rsidRDefault="1B712A4C" w:rsidP="009E3F2B">
      <w:pPr>
        <w:pStyle w:val="ListParagraph"/>
        <w:numPr>
          <w:ilvl w:val="0"/>
          <w:numId w:val="15"/>
        </w:numPr>
        <w:contextualSpacing w:val="0"/>
        <w:rPr>
          <w:rFonts w:eastAsia="Arial" w:cs="Arial"/>
          <w:color w:val="000000" w:themeColor="text1"/>
        </w:rPr>
      </w:pPr>
      <w:r w:rsidRPr="1969088B">
        <w:rPr>
          <w:rFonts w:eastAsia="Arial" w:cs="Arial"/>
          <w:color w:val="000000" w:themeColor="text1"/>
        </w:rPr>
        <w:t xml:space="preserve">A customer using a Service Animal is permitted to enter Metrolinx premises and keep their animal with them unless excluded by law from being there, or if accommodating the Service Animal would amount to undue hardship. </w:t>
      </w:r>
    </w:p>
    <w:p w14:paraId="57DEE3BD" w14:textId="4A0E9FB3" w:rsidR="008C50B6" w:rsidRPr="00D3279A" w:rsidRDefault="008C50B6" w:rsidP="00482F04">
      <w:pPr>
        <w:pStyle w:val="Heading6"/>
        <w:spacing w:after="120"/>
        <w:ind w:left="360" w:hanging="360"/>
      </w:pPr>
      <w:r>
        <w:t xml:space="preserve">3. </w:t>
      </w:r>
      <w:r w:rsidR="00482F04">
        <w:tab/>
      </w:r>
      <w:r w:rsidR="02FB7B3F">
        <w:t>Identification</w:t>
      </w:r>
      <w:bookmarkStart w:id="1" w:name="three_reg"/>
      <w:r>
        <w:t xml:space="preserve"> Requirements</w:t>
      </w:r>
      <w:bookmarkEnd w:id="1"/>
    </w:p>
    <w:p w14:paraId="0108AAE8" w14:textId="7817B3A9" w:rsidR="648DB51D" w:rsidRDefault="648DB51D" w:rsidP="00F4653C">
      <w:pPr>
        <w:pStyle w:val="Note"/>
        <w:numPr>
          <w:ilvl w:val="0"/>
          <w:numId w:val="12"/>
        </w:numPr>
        <w:spacing w:after="120"/>
        <w:rPr>
          <w:rFonts w:eastAsia="Arial" w:cs="Arial"/>
        </w:rPr>
      </w:pPr>
      <w:r w:rsidRPr="1969088B">
        <w:rPr>
          <w:rFonts w:eastAsia="Arial" w:cs="Arial"/>
        </w:rPr>
        <w:t xml:space="preserve">Customers using a Service Animal are not required to register their need or their animal’s function with Metrolinx to use our services. </w:t>
      </w:r>
    </w:p>
    <w:p w14:paraId="4F7D8009" w14:textId="0BA82699" w:rsidR="648DB51D" w:rsidRDefault="648DB51D" w:rsidP="00482F04">
      <w:pPr>
        <w:pStyle w:val="ListParagraph"/>
        <w:numPr>
          <w:ilvl w:val="0"/>
          <w:numId w:val="12"/>
        </w:numPr>
        <w:spacing w:after="120"/>
        <w:contextualSpacing w:val="0"/>
        <w:rPr>
          <w:rFonts w:eastAsia="Arial" w:cs="Arial"/>
        </w:rPr>
      </w:pPr>
      <w:r w:rsidRPr="1969088B">
        <w:rPr>
          <w:rFonts w:eastAsia="Arial" w:cs="Arial"/>
        </w:rPr>
        <w:t>Documentation may be requested by Metrolinx staff when it is not obvious that an animal is a Service Animal. The documentation that Metrolinx might request could include (but is not limited to):</w:t>
      </w:r>
    </w:p>
    <w:p w14:paraId="4E206840" w14:textId="7F455C7C" w:rsidR="648DB51D" w:rsidRDefault="648DB51D" w:rsidP="009E3F2B">
      <w:pPr>
        <w:pStyle w:val="ListParagraph"/>
        <w:numPr>
          <w:ilvl w:val="1"/>
          <w:numId w:val="12"/>
        </w:numPr>
        <w:spacing w:after="60"/>
        <w:contextualSpacing w:val="0"/>
        <w:rPr>
          <w:rFonts w:eastAsia="Arial" w:cs="Arial"/>
        </w:rPr>
      </w:pPr>
      <w:r w:rsidRPr="1969088B">
        <w:rPr>
          <w:rFonts w:eastAsia="Arial" w:cs="Arial"/>
        </w:rPr>
        <w:t xml:space="preserve">Registration with a disability service organization </w:t>
      </w:r>
    </w:p>
    <w:p w14:paraId="44DF0C26" w14:textId="19B2EAD6" w:rsidR="648DB51D" w:rsidRDefault="648DB51D" w:rsidP="009E3F2B">
      <w:pPr>
        <w:pStyle w:val="ListParagraph"/>
        <w:numPr>
          <w:ilvl w:val="1"/>
          <w:numId w:val="12"/>
        </w:numPr>
        <w:spacing w:after="60"/>
        <w:contextualSpacing w:val="0"/>
        <w:rPr>
          <w:rFonts w:eastAsia="Arial" w:cs="Arial"/>
        </w:rPr>
      </w:pPr>
      <w:r w:rsidRPr="1969088B">
        <w:rPr>
          <w:rFonts w:eastAsia="Arial" w:cs="Arial"/>
        </w:rPr>
        <w:t xml:space="preserve">Identification card from the Ontario Ministry of the Attorney General for people who are blind and use a guide dog. </w:t>
      </w:r>
    </w:p>
    <w:p w14:paraId="147ADC91" w14:textId="7C450E08" w:rsidR="648DB51D" w:rsidRDefault="648DB51D" w:rsidP="00482F04">
      <w:pPr>
        <w:pStyle w:val="ListParagraph"/>
        <w:numPr>
          <w:ilvl w:val="1"/>
          <w:numId w:val="12"/>
        </w:numPr>
        <w:contextualSpacing w:val="0"/>
        <w:rPr>
          <w:rFonts w:eastAsia="Arial" w:cs="Arial"/>
        </w:rPr>
      </w:pPr>
      <w:r w:rsidRPr="1969088B">
        <w:rPr>
          <w:rFonts w:eastAsia="Arial" w:cs="Arial"/>
        </w:rPr>
        <w:t xml:space="preserve">A letter from one of nine health professionals identified in the AODA.  </w:t>
      </w:r>
    </w:p>
    <w:p w14:paraId="22CB3E8E" w14:textId="5C2CFC2C" w:rsidR="008C50B6" w:rsidRPr="00D3279A" w:rsidRDefault="008C50B6" w:rsidP="009E3F2B">
      <w:pPr>
        <w:pStyle w:val="Heading6"/>
        <w:spacing w:after="120"/>
        <w:ind w:left="360" w:hanging="360"/>
      </w:pPr>
      <w:r>
        <w:t xml:space="preserve">4. </w:t>
      </w:r>
      <w:r w:rsidR="009E3F2B">
        <w:tab/>
      </w:r>
      <w:r w:rsidR="100567A3">
        <w:t>Staff</w:t>
      </w:r>
      <w:r w:rsidR="00FF0024">
        <w:t xml:space="preserve"> </w:t>
      </w:r>
      <w:r>
        <w:t xml:space="preserve">Training </w:t>
      </w:r>
    </w:p>
    <w:p w14:paraId="6B952C13" w14:textId="500CD16A" w:rsidR="006A0DCA" w:rsidRPr="00A85D12" w:rsidRDefault="00CE40BF" w:rsidP="00CE40BF">
      <w:pPr>
        <w:pStyle w:val="ListParagraph"/>
        <w:numPr>
          <w:ilvl w:val="0"/>
          <w:numId w:val="12"/>
        </w:numPr>
        <w:ind w:left="774"/>
      </w:pPr>
      <w:r>
        <w:t xml:space="preserve">Training will be delivered to </w:t>
      </w:r>
      <w:r w:rsidR="07DE1CDB">
        <w:t>staff</w:t>
      </w:r>
      <w:r>
        <w:t xml:space="preserve"> </w:t>
      </w:r>
      <w:r w:rsidR="00266A32">
        <w:t>as required</w:t>
      </w:r>
      <w:r>
        <w:t xml:space="preserve"> or as a part of the new hire onboarding process</w:t>
      </w:r>
      <w:r w:rsidR="17CE00A7">
        <w:t xml:space="preserve">. </w:t>
      </w:r>
    </w:p>
    <w:p w14:paraId="3B956D59" w14:textId="04548649" w:rsidR="775E2D7B" w:rsidRDefault="775E2D7B" w:rsidP="009E3F2B">
      <w:pPr>
        <w:pStyle w:val="Heading6"/>
        <w:spacing w:after="120"/>
        <w:ind w:left="360" w:hanging="360"/>
      </w:pPr>
      <w:r>
        <w:t xml:space="preserve">5. </w:t>
      </w:r>
      <w:r w:rsidR="009E3F2B">
        <w:tab/>
      </w:r>
      <w:r>
        <w:t xml:space="preserve">Policy </w:t>
      </w:r>
      <w:r w:rsidR="05F9A8D9">
        <w:t>Availability</w:t>
      </w:r>
    </w:p>
    <w:p w14:paraId="356066A9" w14:textId="4FF3E655" w:rsidR="2E6A0689" w:rsidRDefault="2E6A0689" w:rsidP="00F4653C">
      <w:pPr>
        <w:pStyle w:val="Note"/>
        <w:numPr>
          <w:ilvl w:val="0"/>
          <w:numId w:val="12"/>
        </w:numPr>
        <w:spacing w:after="120"/>
        <w:rPr>
          <w:rFonts w:eastAsia="Arial" w:cs="Arial"/>
        </w:rPr>
      </w:pPr>
      <w:r w:rsidRPr="4EB1560C">
        <w:rPr>
          <w:rFonts w:eastAsia="Arial" w:cs="Arial"/>
        </w:rPr>
        <w:t>This policy is available in French and in English.</w:t>
      </w:r>
    </w:p>
    <w:p w14:paraId="6C24ED19" w14:textId="4746D03F" w:rsidR="2E6A0689" w:rsidRPr="00753E51" w:rsidRDefault="489D7249" w:rsidP="00F4653C">
      <w:pPr>
        <w:pStyle w:val="ListParagraph"/>
        <w:numPr>
          <w:ilvl w:val="0"/>
          <w:numId w:val="12"/>
        </w:numPr>
        <w:spacing w:after="120"/>
        <w:contextualSpacing w:val="0"/>
      </w:pPr>
      <w:r w:rsidRPr="5D56380A">
        <w:rPr>
          <w:rFonts w:eastAsia="Arial" w:cs="Arial"/>
        </w:rPr>
        <w:t>This policy is posted on the Metrolinx Accessibility page and other GO, UP, and PRESTO webpages.</w:t>
      </w:r>
      <w:r w:rsidR="1FC7B309" w:rsidRPr="5D56380A">
        <w:rPr>
          <w:rFonts w:eastAsia="Arial" w:cs="Arial"/>
        </w:rPr>
        <w:t xml:space="preserve"> </w:t>
      </w:r>
    </w:p>
    <w:p w14:paraId="2F898BC9" w14:textId="15CAB53D" w:rsidR="2E6A0689" w:rsidRDefault="2E6A0689" w:rsidP="009E3F2B">
      <w:pPr>
        <w:pStyle w:val="ListParagraph"/>
        <w:numPr>
          <w:ilvl w:val="0"/>
          <w:numId w:val="12"/>
        </w:numPr>
        <w:contextualSpacing w:val="0"/>
        <w:rPr>
          <w:rFonts w:eastAsia="Arial" w:cs="Arial"/>
        </w:rPr>
      </w:pPr>
      <w:r w:rsidRPr="4EB1560C">
        <w:rPr>
          <w:rFonts w:eastAsia="Arial" w:cs="Arial"/>
        </w:rPr>
        <w:lastRenderedPageBreak/>
        <w:t xml:space="preserve">Updates may be made to the policy from time to time and will be posted on the above websites. </w:t>
      </w:r>
    </w:p>
    <w:p w14:paraId="3B56CFC5" w14:textId="6D2D3BB7" w:rsidR="008C50B6" w:rsidRDefault="008C50B6" w:rsidP="009E3F2B">
      <w:pPr>
        <w:pStyle w:val="Note"/>
        <w:ind w:left="0" w:firstLine="0"/>
      </w:pPr>
      <w:r>
        <w:t xml:space="preserve">A plain language summary along with a FAQ document will be made available for ease of understanding. </w:t>
      </w:r>
    </w:p>
    <w:p w14:paraId="482EB5F0" w14:textId="1C4E3273" w:rsidR="008C50B6" w:rsidRDefault="26C6846E" w:rsidP="009E3F2B">
      <w:pPr>
        <w:spacing w:line="259" w:lineRule="auto"/>
        <w:ind w:left="1080" w:hanging="720"/>
      </w:pPr>
      <w:r w:rsidRPr="4EB1560C">
        <w:rPr>
          <w:rFonts w:eastAsia="Arial" w:cs="Arial"/>
          <w:b/>
          <w:bCs/>
          <w:color w:val="000000" w:themeColor="text1"/>
        </w:rPr>
        <w:t>Note:</w:t>
      </w:r>
      <w:r w:rsidR="009E3F2B">
        <w:rPr>
          <w:rFonts w:eastAsia="Arial" w:cs="Arial"/>
          <w:color w:val="000000" w:themeColor="text1"/>
        </w:rPr>
        <w:tab/>
      </w:r>
      <w:r w:rsidRPr="4EB1560C">
        <w:rPr>
          <w:rFonts w:eastAsia="Arial" w:cs="Arial"/>
          <w:color w:val="000000" w:themeColor="text1"/>
        </w:rPr>
        <w:t>The policy is available in alternate formats or with communication supports</w:t>
      </w:r>
      <w:r w:rsidR="00345541">
        <w:t xml:space="preserve"> </w:t>
      </w:r>
      <w:r w:rsidRPr="4EB1560C">
        <w:rPr>
          <w:rFonts w:eastAsia="Arial" w:cs="Arial"/>
          <w:color w:val="000000" w:themeColor="text1"/>
        </w:rPr>
        <w:t xml:space="preserve">by </w:t>
      </w:r>
      <w:r w:rsidRPr="00345541">
        <w:rPr>
          <w:rFonts w:eastAsia="Arial" w:cs="Arial"/>
          <w:color w:val="000000" w:themeColor="text1"/>
        </w:rPr>
        <w:t xml:space="preserve">contacting </w:t>
      </w:r>
      <w:hyperlink r:id="rId14">
        <w:r w:rsidRPr="00345541">
          <w:rPr>
            <w:rStyle w:val="Hyperlink"/>
            <w:rFonts w:eastAsia="Arial" w:cs="Arial"/>
            <w:color w:val="0000FF"/>
            <w:u w:val="none"/>
          </w:rPr>
          <w:t>accessibility@metrolinx.com</w:t>
        </w:r>
      </w:hyperlink>
      <w:r w:rsidRPr="00345541">
        <w:rPr>
          <w:rFonts w:eastAsia="Arial" w:cs="Arial"/>
          <w:color w:val="000000" w:themeColor="text1"/>
        </w:rPr>
        <w:t xml:space="preserve"> or through the </w:t>
      </w:r>
      <w:hyperlink r:id="rId15">
        <w:r w:rsidRPr="00345541">
          <w:rPr>
            <w:rStyle w:val="Hyperlink"/>
            <w:rFonts w:eastAsia="Arial" w:cs="Arial"/>
            <w:color w:val="0000FF"/>
            <w:u w:val="none"/>
          </w:rPr>
          <w:t>Contact Centre</w:t>
        </w:r>
      </w:hyperlink>
      <w:r w:rsidRPr="00345541">
        <w:rPr>
          <w:rFonts w:eastAsia="Arial" w:cs="Arial"/>
          <w:color w:val="000000" w:themeColor="text1"/>
        </w:rPr>
        <w:t>.</w:t>
      </w:r>
      <w:r w:rsidRPr="4EB1560C">
        <w:rPr>
          <w:rFonts w:eastAsia="Arial" w:cs="Arial"/>
          <w:color w:val="000000" w:themeColor="text1"/>
        </w:rPr>
        <w:t xml:space="preserve"> </w:t>
      </w:r>
    </w:p>
    <w:p w14:paraId="65AA3683" w14:textId="7C8BF293" w:rsidR="008C50B6" w:rsidRPr="00C404D3" w:rsidRDefault="775E2D7B" w:rsidP="009E3F2B">
      <w:pPr>
        <w:pStyle w:val="Note"/>
        <w:spacing w:before="360" w:after="120" w:line="259" w:lineRule="auto"/>
        <w:ind w:left="0" w:firstLine="0"/>
        <w:rPr>
          <w:b/>
          <w:sz w:val="28"/>
          <w:szCs w:val="28"/>
        </w:rPr>
      </w:pPr>
      <w:bookmarkStart w:id="2" w:name="GeneralRules"/>
      <w:r w:rsidRPr="00C404D3">
        <w:rPr>
          <w:b/>
          <w:sz w:val="28"/>
          <w:szCs w:val="28"/>
        </w:rPr>
        <w:t>GENERAL RULES FOR SERVICE ANIMALS</w:t>
      </w:r>
      <w:bookmarkStart w:id="3" w:name="Bookmark1"/>
      <w:bookmarkEnd w:id="3"/>
    </w:p>
    <w:bookmarkEnd w:id="2"/>
    <w:p w14:paraId="4DFA29EA" w14:textId="77777777" w:rsidR="008C50B6" w:rsidRDefault="008C50B6" w:rsidP="009E3F2B">
      <w:pPr>
        <w:spacing w:after="120"/>
      </w:pPr>
      <w:r w:rsidRPr="463C7AFC">
        <w:t xml:space="preserve">The following general rules apply to all customers travelling with </w:t>
      </w:r>
      <w:r w:rsidR="00F24220">
        <w:t>Service Animal</w:t>
      </w:r>
      <w:r w:rsidRPr="463C7AFC">
        <w:t>s on Metrolinx services:</w:t>
      </w:r>
    </w:p>
    <w:p w14:paraId="1126C62F" w14:textId="5B0E5E0F" w:rsidR="008C50B6" w:rsidRDefault="008C50B6" w:rsidP="006C7622">
      <w:pPr>
        <w:pStyle w:val="ListParagraph"/>
        <w:numPr>
          <w:ilvl w:val="0"/>
          <w:numId w:val="16"/>
        </w:numPr>
        <w:spacing w:after="120"/>
        <w:ind w:left="360"/>
        <w:contextualSpacing w:val="0"/>
        <w:rPr>
          <w:b/>
          <w:bCs/>
        </w:rPr>
      </w:pPr>
      <w:r w:rsidRPr="463C7AFC">
        <w:rPr>
          <w:b/>
          <w:bCs/>
        </w:rPr>
        <w:t>Control and Behaviour</w:t>
      </w:r>
    </w:p>
    <w:p w14:paraId="178DBA31" w14:textId="02B3BE6B" w:rsidR="008C50B6" w:rsidRDefault="00F24220" w:rsidP="006C7622">
      <w:pPr>
        <w:pStyle w:val="ListParagraph"/>
        <w:numPr>
          <w:ilvl w:val="1"/>
          <w:numId w:val="16"/>
        </w:numPr>
        <w:spacing w:after="120"/>
        <w:ind w:left="1080"/>
        <w:contextualSpacing w:val="0"/>
      </w:pPr>
      <w:r>
        <w:t>Service Animal</w:t>
      </w:r>
      <w:r w:rsidR="008C50B6" w:rsidRPr="463C7AFC">
        <w:t xml:space="preserve">s must </w:t>
      </w:r>
      <w:r w:rsidR="00D90740" w:rsidRPr="463C7AFC">
        <w:t>always remain under the control of their handler</w:t>
      </w:r>
      <w:r w:rsidR="008C50B6" w:rsidRPr="463C7AFC">
        <w:t xml:space="preserve"> (e.g., by leash, harness, or other means).</w:t>
      </w:r>
    </w:p>
    <w:p w14:paraId="332C975C" w14:textId="449CB17D" w:rsidR="008C50B6" w:rsidRDefault="00F24220" w:rsidP="006C7622">
      <w:pPr>
        <w:pStyle w:val="ListParagraph"/>
        <w:numPr>
          <w:ilvl w:val="1"/>
          <w:numId w:val="16"/>
        </w:numPr>
        <w:ind w:left="1080"/>
        <w:contextualSpacing w:val="0"/>
      </w:pPr>
      <w:r>
        <w:t>Service Animal</w:t>
      </w:r>
      <w:r w:rsidR="008C50B6" w:rsidRPr="463C7AFC">
        <w:t>s must behave appropriately and not disrupt operations or other passengers.</w:t>
      </w:r>
    </w:p>
    <w:p w14:paraId="50B768AE" w14:textId="4A51DF1B" w:rsidR="008C50B6" w:rsidRDefault="008C50B6" w:rsidP="00F91C45">
      <w:pPr>
        <w:pStyle w:val="ListParagraph"/>
        <w:numPr>
          <w:ilvl w:val="0"/>
          <w:numId w:val="16"/>
        </w:numPr>
        <w:spacing w:after="120"/>
        <w:ind w:left="360"/>
        <w:contextualSpacing w:val="0"/>
        <w:rPr>
          <w:b/>
          <w:bCs/>
        </w:rPr>
      </w:pPr>
      <w:r w:rsidRPr="463C7AFC">
        <w:rPr>
          <w:b/>
          <w:bCs/>
        </w:rPr>
        <w:t>Placement on Vehicles</w:t>
      </w:r>
    </w:p>
    <w:p w14:paraId="2737C742" w14:textId="79C7DEA2" w:rsidR="008C50B6" w:rsidRDefault="00F24220" w:rsidP="00F91C45">
      <w:pPr>
        <w:pStyle w:val="ListParagraph"/>
        <w:numPr>
          <w:ilvl w:val="1"/>
          <w:numId w:val="16"/>
        </w:numPr>
        <w:spacing w:after="120"/>
        <w:ind w:left="1080"/>
        <w:contextualSpacing w:val="0"/>
      </w:pPr>
      <w:r>
        <w:t>Service Animal</w:t>
      </w:r>
      <w:r w:rsidR="008C50B6">
        <w:t>s should remain on the floor</w:t>
      </w:r>
      <w:r w:rsidR="00C319E4">
        <w:t xml:space="preserve">, in the customer’s arms or lap, </w:t>
      </w:r>
      <w:r w:rsidR="008C50B6">
        <w:t xml:space="preserve">and not occupy seats. </w:t>
      </w:r>
    </w:p>
    <w:p w14:paraId="453A54EB" w14:textId="42F633F1" w:rsidR="00E66FEE" w:rsidRDefault="008C50B6" w:rsidP="00F91C45">
      <w:pPr>
        <w:pStyle w:val="ListParagraph"/>
        <w:numPr>
          <w:ilvl w:val="1"/>
          <w:numId w:val="16"/>
        </w:numPr>
        <w:spacing w:after="120"/>
        <w:ind w:left="1080"/>
        <w:contextualSpacing w:val="0"/>
      </w:pPr>
      <w:r>
        <w:t xml:space="preserve">Customers should ensure their </w:t>
      </w:r>
      <w:r w:rsidR="00F24220">
        <w:t>Service Animal</w:t>
      </w:r>
      <w:r>
        <w:t xml:space="preserve"> does not block aisles, doors, or emergency exits.</w:t>
      </w:r>
    </w:p>
    <w:p w14:paraId="258F9E42" w14:textId="3FC466F1" w:rsidR="00730CDE" w:rsidRPr="00CE5778" w:rsidRDefault="00730CDE" w:rsidP="00F91C45">
      <w:pPr>
        <w:pStyle w:val="ListParagraph"/>
        <w:numPr>
          <w:ilvl w:val="1"/>
          <w:numId w:val="16"/>
        </w:numPr>
        <w:ind w:left="1080"/>
        <w:contextualSpacing w:val="0"/>
      </w:pPr>
      <w:r>
        <w:t>The upper level may pose risks for animals, including navigating stairs, space limitations, and delayed evacuation in the event of emergency. For the safety of all passengers and animals, it is strongly encouraged that animals remain on the lower level whenever possible. </w:t>
      </w:r>
    </w:p>
    <w:p w14:paraId="43C5D083" w14:textId="41E8DF5B" w:rsidR="008C50B6" w:rsidRDefault="008C50B6" w:rsidP="00F91C45">
      <w:pPr>
        <w:pStyle w:val="ListParagraph"/>
        <w:numPr>
          <w:ilvl w:val="0"/>
          <w:numId w:val="16"/>
        </w:numPr>
        <w:spacing w:after="120"/>
        <w:ind w:left="360"/>
        <w:contextualSpacing w:val="0"/>
        <w:rPr>
          <w:b/>
          <w:bCs/>
        </w:rPr>
      </w:pPr>
      <w:r w:rsidRPr="463C7AFC">
        <w:rPr>
          <w:b/>
          <w:bCs/>
        </w:rPr>
        <w:t>Identification</w:t>
      </w:r>
    </w:p>
    <w:p w14:paraId="056DC692" w14:textId="31987EFA" w:rsidR="4A4DC3A1" w:rsidRDefault="008C50B6" w:rsidP="00F91C45">
      <w:pPr>
        <w:pStyle w:val="ListParagraph"/>
        <w:numPr>
          <w:ilvl w:val="1"/>
          <w:numId w:val="16"/>
        </w:numPr>
        <w:spacing w:after="120"/>
        <w:ind w:left="1080"/>
        <w:contextualSpacing w:val="0"/>
      </w:pPr>
      <w:r>
        <w:t xml:space="preserve">While not required, customers are encouraged to have their </w:t>
      </w:r>
      <w:r w:rsidR="00F24220">
        <w:t>Service Animal</w:t>
      </w:r>
      <w:r>
        <w:t>s wear visible identifiers (e.g., vest or harness) for easy recognition.</w:t>
      </w:r>
    </w:p>
    <w:p w14:paraId="2E7EB0DE" w14:textId="73FF6AAD" w:rsidR="008B4379" w:rsidRDefault="008C50B6" w:rsidP="00F91C45">
      <w:pPr>
        <w:pStyle w:val="ListParagraph"/>
        <w:numPr>
          <w:ilvl w:val="1"/>
          <w:numId w:val="16"/>
        </w:numPr>
        <w:ind w:left="1080"/>
        <w:contextualSpacing w:val="0"/>
      </w:pPr>
      <w:r w:rsidRPr="463C7AFC">
        <w:t xml:space="preserve">Documentation may </w:t>
      </w:r>
      <w:r w:rsidRPr="0027191D">
        <w:t xml:space="preserve">be requested when it is not obvious that the animal is a </w:t>
      </w:r>
      <w:r w:rsidR="00F24220">
        <w:t>Service Animal</w:t>
      </w:r>
      <w:r w:rsidRPr="0027191D">
        <w:t xml:space="preserve"> (see </w:t>
      </w:r>
      <w:hyperlink w:anchor="three_reg">
        <w:r w:rsidR="00CD4D18" w:rsidRPr="00F4653C">
          <w:rPr>
            <w:rStyle w:val="Hyperlink"/>
            <w:u w:val="none"/>
          </w:rPr>
          <w:t>Identification</w:t>
        </w:r>
        <w:r w:rsidRPr="00F4653C">
          <w:rPr>
            <w:rStyle w:val="Hyperlink"/>
            <w:u w:val="none"/>
          </w:rPr>
          <w:t xml:space="preserve"> Requirements</w:t>
        </w:r>
      </w:hyperlink>
      <w:r w:rsidRPr="0027191D">
        <w:t>).</w:t>
      </w:r>
    </w:p>
    <w:p w14:paraId="29CBA04E" w14:textId="28AC5E7E" w:rsidR="008C50B6" w:rsidRDefault="008C50B6" w:rsidP="00F91C45">
      <w:pPr>
        <w:pStyle w:val="ListParagraph"/>
        <w:numPr>
          <w:ilvl w:val="0"/>
          <w:numId w:val="16"/>
        </w:numPr>
        <w:spacing w:after="120"/>
        <w:ind w:left="360"/>
        <w:contextualSpacing w:val="0"/>
        <w:rPr>
          <w:b/>
          <w:bCs/>
        </w:rPr>
      </w:pPr>
      <w:r w:rsidRPr="463C7AFC">
        <w:rPr>
          <w:b/>
          <w:bCs/>
        </w:rPr>
        <w:t>Health and Safety</w:t>
      </w:r>
    </w:p>
    <w:p w14:paraId="03D1AC0D" w14:textId="77B1D41F" w:rsidR="008C50B6" w:rsidRDefault="00F24220" w:rsidP="00F91C45">
      <w:pPr>
        <w:pStyle w:val="ListParagraph"/>
        <w:numPr>
          <w:ilvl w:val="1"/>
          <w:numId w:val="16"/>
        </w:numPr>
        <w:spacing w:after="120"/>
        <w:ind w:left="1080"/>
        <w:contextualSpacing w:val="0"/>
      </w:pPr>
      <w:r>
        <w:t>Service Animal</w:t>
      </w:r>
      <w:r w:rsidR="008C50B6" w:rsidRPr="463C7AFC">
        <w:t>s must be clean, well-behaved, and not pose a health or safety risk to others.</w:t>
      </w:r>
    </w:p>
    <w:p w14:paraId="1DC22ECA" w14:textId="7C23ACFB" w:rsidR="008C50B6" w:rsidRDefault="008C50B6" w:rsidP="00F91C45">
      <w:pPr>
        <w:pStyle w:val="ListParagraph"/>
        <w:numPr>
          <w:ilvl w:val="1"/>
          <w:numId w:val="16"/>
        </w:numPr>
        <w:spacing w:after="120"/>
        <w:ind w:left="1080"/>
        <w:contextualSpacing w:val="0"/>
      </w:pPr>
      <w:r w:rsidRPr="463C7AFC">
        <w:t xml:space="preserve">In cases where a </w:t>
      </w:r>
      <w:r w:rsidR="00F24220">
        <w:t>Service Animal</w:t>
      </w:r>
      <w:r w:rsidRPr="463C7AFC">
        <w:t xml:space="preserve"> exhibits aggressive or unsafe behaviour, staff may take reasonable action, including asking the customer to disembark for the safety of all passengers.</w:t>
      </w:r>
      <w:r w:rsidR="00E13125">
        <w:t xml:space="preserve"> Customers may continue their journey if they get the animal under control. </w:t>
      </w:r>
    </w:p>
    <w:p w14:paraId="3D89BA79" w14:textId="3DCA66A8" w:rsidR="008C50B6" w:rsidRDefault="008C50B6" w:rsidP="00F91C45">
      <w:pPr>
        <w:pStyle w:val="ListParagraph"/>
        <w:numPr>
          <w:ilvl w:val="0"/>
          <w:numId w:val="16"/>
        </w:numPr>
        <w:spacing w:after="120"/>
        <w:ind w:left="360"/>
        <w:contextualSpacing w:val="0"/>
        <w:rPr>
          <w:b/>
          <w:bCs/>
        </w:rPr>
      </w:pPr>
      <w:r w:rsidRPr="463C7AFC">
        <w:rPr>
          <w:b/>
          <w:bCs/>
        </w:rPr>
        <w:lastRenderedPageBreak/>
        <w:t>Allergies and Phobias</w:t>
      </w:r>
    </w:p>
    <w:p w14:paraId="67C38B8C" w14:textId="18D116E5" w:rsidR="008C50B6" w:rsidRDefault="57A93307" w:rsidP="00F91C45">
      <w:pPr>
        <w:pStyle w:val="ListParagraph"/>
        <w:numPr>
          <w:ilvl w:val="1"/>
          <w:numId w:val="16"/>
        </w:numPr>
        <w:ind w:left="1080"/>
        <w:contextualSpacing w:val="0"/>
      </w:pPr>
      <w:r w:rsidRPr="5D56380A">
        <w:rPr>
          <w:rFonts w:eastAsia="Arial" w:cs="Arial"/>
        </w:rPr>
        <w:t>In the instance that customers have conflicting needs, for instance, due to allergies or fear of animals, staff will make reasonable efforts to accommodate all parties while meeting legislative requirements for the customer with a disability to travel with their Service Animal.</w:t>
      </w:r>
    </w:p>
    <w:p w14:paraId="53CD60A9" w14:textId="28681D32" w:rsidR="008C50B6" w:rsidRDefault="008C50B6" w:rsidP="00F91C45">
      <w:pPr>
        <w:pStyle w:val="ListParagraph"/>
        <w:numPr>
          <w:ilvl w:val="0"/>
          <w:numId w:val="16"/>
        </w:numPr>
        <w:spacing w:after="120"/>
        <w:ind w:left="360"/>
        <w:contextualSpacing w:val="0"/>
        <w:rPr>
          <w:b/>
          <w:bCs/>
        </w:rPr>
      </w:pPr>
      <w:r w:rsidRPr="463C7AFC">
        <w:rPr>
          <w:b/>
          <w:bCs/>
        </w:rPr>
        <w:t>Complaints and Escalations</w:t>
      </w:r>
    </w:p>
    <w:p w14:paraId="09021554" w14:textId="1A267556" w:rsidR="008C50B6" w:rsidRDefault="008C50B6" w:rsidP="00F91C45">
      <w:pPr>
        <w:pStyle w:val="ListParagraph"/>
        <w:numPr>
          <w:ilvl w:val="1"/>
          <w:numId w:val="16"/>
        </w:numPr>
        <w:spacing w:after="120"/>
        <w:ind w:left="1080"/>
        <w:contextualSpacing w:val="0"/>
      </w:pPr>
      <w:r w:rsidRPr="463C7AFC">
        <w:t xml:space="preserve">Customers may report concerns or incidents involving </w:t>
      </w:r>
      <w:r w:rsidR="00F24220">
        <w:t>Service Animal</w:t>
      </w:r>
      <w:r w:rsidRPr="463C7AFC">
        <w:t>s through Metrolinx’s established complaint channels.</w:t>
      </w:r>
    </w:p>
    <w:p w14:paraId="2FF8FA81" w14:textId="77A991E9" w:rsidR="008C50B6" w:rsidRDefault="69D4751E" w:rsidP="00F91C45">
      <w:pPr>
        <w:pStyle w:val="ListParagraph"/>
        <w:numPr>
          <w:ilvl w:val="1"/>
          <w:numId w:val="16"/>
        </w:numPr>
        <w:ind w:left="1080"/>
        <w:contextualSpacing w:val="0"/>
      </w:pPr>
      <w:r w:rsidRPr="007A3157">
        <w:rPr>
          <w:rFonts w:eastAsia="Arial" w:cs="Arial"/>
          <w:color w:val="000000" w:themeColor="text1"/>
        </w:rPr>
        <w:t xml:space="preserve">The AODA sets standards to identify, remove and prevent barriers to accessibility. However, it is not designed to address complaints if a customer feels they have been discriminated against because they have a disability. Customers who feel they have been personally discriminated against based on a disability that would like to </w:t>
      </w:r>
      <w:proofErr w:type="gramStart"/>
      <w:r w:rsidRPr="007A3157">
        <w:rPr>
          <w:rFonts w:eastAsia="Arial" w:cs="Arial"/>
          <w:color w:val="000000" w:themeColor="text1"/>
        </w:rPr>
        <w:t>take action</w:t>
      </w:r>
      <w:proofErr w:type="gramEnd"/>
      <w:r w:rsidRPr="007A3157">
        <w:rPr>
          <w:rFonts w:eastAsia="Arial" w:cs="Arial"/>
          <w:color w:val="000000" w:themeColor="text1"/>
        </w:rPr>
        <w:t xml:space="preserve"> can contact the Human Rights Tribunal of Ontario.</w:t>
      </w:r>
    </w:p>
    <w:p w14:paraId="7DAEE92C" w14:textId="368A4EF6" w:rsidR="008C50B6" w:rsidRPr="00461E73" w:rsidRDefault="008C50B6" w:rsidP="00F91C45">
      <w:pPr>
        <w:pStyle w:val="ListParagraph"/>
        <w:numPr>
          <w:ilvl w:val="0"/>
          <w:numId w:val="16"/>
        </w:numPr>
        <w:spacing w:after="120"/>
        <w:ind w:left="360"/>
        <w:contextualSpacing w:val="0"/>
        <w:rPr>
          <w:b/>
          <w:bCs/>
        </w:rPr>
      </w:pPr>
      <w:bookmarkStart w:id="4" w:name="seven"/>
      <w:r w:rsidRPr="00461E73">
        <w:rPr>
          <w:b/>
          <w:bCs/>
        </w:rPr>
        <w:t>Animal Safety</w:t>
      </w:r>
    </w:p>
    <w:bookmarkEnd w:id="4"/>
    <w:p w14:paraId="3A3433AC" w14:textId="77777777" w:rsidR="008C50B6" w:rsidRDefault="00F24220" w:rsidP="00F91C45">
      <w:pPr>
        <w:spacing w:after="120"/>
        <w:ind w:left="360"/>
      </w:pPr>
      <w:r>
        <w:t>Service Animal</w:t>
      </w:r>
      <w:r w:rsidR="008C50B6" w:rsidRPr="463C7AFC">
        <w:t xml:space="preserve">s are generally permitted on all Metrolinx services and properties. However, in rare circumstances, </w:t>
      </w:r>
      <w:r w:rsidR="008C50B6" w:rsidRPr="463C7AFC">
        <w:rPr>
          <w:b/>
          <w:bCs/>
        </w:rPr>
        <w:t>Metrolinx may restrict access</w:t>
      </w:r>
      <w:r w:rsidR="008C50B6" w:rsidRPr="463C7AFC">
        <w:t xml:space="preserve"> if:</w:t>
      </w:r>
    </w:p>
    <w:p w14:paraId="54B423EF" w14:textId="368C248C" w:rsidR="008C50B6" w:rsidRDefault="008C50B6" w:rsidP="00F91C45">
      <w:pPr>
        <w:pStyle w:val="ListParagraph"/>
        <w:numPr>
          <w:ilvl w:val="1"/>
          <w:numId w:val="16"/>
        </w:numPr>
        <w:spacing w:after="120"/>
        <w:ind w:left="1080"/>
        <w:contextualSpacing w:val="0"/>
      </w:pPr>
      <w:r w:rsidRPr="463C7AFC">
        <w:t xml:space="preserve">The animal </w:t>
      </w:r>
      <w:r w:rsidRPr="463C7AFC">
        <w:rPr>
          <w:b/>
          <w:bCs/>
        </w:rPr>
        <w:t>poses a safety or health risk</w:t>
      </w:r>
      <w:r w:rsidRPr="463C7AFC">
        <w:t xml:space="preserve"> to customers, staff, or other animals</w:t>
      </w:r>
      <w:r w:rsidR="005069C7">
        <w:t xml:space="preserve">, </w:t>
      </w:r>
      <w:r w:rsidR="004A4964">
        <w:t xml:space="preserve">including circumstances where the </w:t>
      </w:r>
      <w:r w:rsidR="005069C7">
        <w:t>Service Animal</w:t>
      </w:r>
      <w:r w:rsidR="005069C7" w:rsidRPr="00264751">
        <w:t xml:space="preserve"> becomes aggressive or purposely injures another customer</w:t>
      </w:r>
      <w:r w:rsidRPr="463C7AFC">
        <w:t>.</w:t>
      </w:r>
      <w:r w:rsidR="004A4964">
        <w:t xml:space="preserve"> </w:t>
      </w:r>
      <w:r w:rsidR="00697471">
        <w:t>I</w:t>
      </w:r>
      <w:r w:rsidRPr="463C7AFC">
        <w:t xml:space="preserve">n </w:t>
      </w:r>
      <w:r w:rsidR="00697471">
        <w:t xml:space="preserve">such a </w:t>
      </w:r>
      <w:r w:rsidRPr="463C7AFC">
        <w:t xml:space="preserve">case, staff will work with the customer to identify an alternative arrangement to </w:t>
      </w:r>
      <w:r w:rsidR="001A145B">
        <w:t xml:space="preserve">maintain accessibility </w:t>
      </w:r>
      <w:r w:rsidRPr="463C7AFC">
        <w:t>wherever possible.</w:t>
      </w:r>
    </w:p>
    <w:p w14:paraId="54925952" w14:textId="3E734AD4" w:rsidR="00AD12D4" w:rsidRDefault="2A3143EA" w:rsidP="000C39ED">
      <w:pPr>
        <w:pStyle w:val="Note"/>
        <w:ind w:left="1800" w:hanging="720"/>
      </w:pPr>
      <w:r w:rsidRPr="1969088B">
        <w:rPr>
          <w:b/>
        </w:rPr>
        <w:t>Note</w:t>
      </w:r>
      <w:r>
        <w:t xml:space="preserve">: </w:t>
      </w:r>
      <w:r w:rsidR="00E66FEE">
        <w:t xml:space="preserve">Metrolinx may not be able to accommodate Service </w:t>
      </w:r>
      <w:r w:rsidR="2C4E7373">
        <w:t>Animals that are not</w:t>
      </w:r>
      <w:r w:rsidR="007A3157">
        <w:t xml:space="preserve"> </w:t>
      </w:r>
      <w:r w:rsidR="2C4E7373">
        <w:t>domesticated or that might present a potential danger</w:t>
      </w:r>
      <w:r w:rsidR="00E66FEE">
        <w:t xml:space="preserve"> </w:t>
      </w:r>
      <w:r w:rsidR="2C4E7373">
        <w:t>to staff or customers</w:t>
      </w:r>
      <w:r w:rsidR="007A3157">
        <w:t xml:space="preserve"> </w:t>
      </w:r>
      <w:r w:rsidR="008B4379">
        <w:t>(</w:t>
      </w:r>
      <w:r w:rsidR="2C4E7373">
        <w:t>e.g.</w:t>
      </w:r>
      <w:r w:rsidR="00CE2A10">
        <w:t>,</w:t>
      </w:r>
      <w:r w:rsidR="00E66FEE">
        <w:t xml:space="preserve"> </w:t>
      </w:r>
      <w:r w:rsidR="2C4E7373">
        <w:t>exotic or wild animals)</w:t>
      </w:r>
      <w:r w:rsidR="00E66FEE">
        <w:t>. If permitted, this kind of Service Animal</w:t>
      </w:r>
      <w:r w:rsidR="2C4E7373">
        <w:t xml:space="preserve"> must</w:t>
      </w:r>
      <w:r w:rsidR="007A3157">
        <w:t xml:space="preserve"> </w:t>
      </w:r>
      <w:r w:rsidR="2C4E7373">
        <w:t>be harnessed or</w:t>
      </w:r>
      <w:r w:rsidR="00E66FEE">
        <w:t xml:space="preserve"> </w:t>
      </w:r>
      <w:r w:rsidR="2C4E7373">
        <w:t xml:space="preserve">contained (e.g., a portable carrier) and access </w:t>
      </w:r>
      <w:r w:rsidR="00E66FEE">
        <w:t>to the</w:t>
      </w:r>
      <w:r w:rsidR="007A3157">
        <w:t xml:space="preserve"> </w:t>
      </w:r>
      <w:r w:rsidR="00E66FEE">
        <w:t>animal may be limited while on Metrolinx services and/or property. Prio</w:t>
      </w:r>
      <w:r w:rsidR="00CE2A10">
        <w:t xml:space="preserve">r </w:t>
      </w:r>
      <w:r w:rsidR="00E66FEE">
        <w:t xml:space="preserve">clearance with Metrolinx regarding attending Metrolinx services with </w:t>
      </w:r>
      <w:r w:rsidR="00A179F2">
        <w:t>a</w:t>
      </w:r>
      <w:r w:rsidR="00CE2A10">
        <w:t xml:space="preserve"> </w:t>
      </w:r>
      <w:r w:rsidR="00E66FEE">
        <w:t xml:space="preserve">Service Animal of this nature is highly encouraged. </w:t>
      </w:r>
    </w:p>
    <w:p w14:paraId="220DE32E" w14:textId="778F0A86" w:rsidR="00264751" w:rsidRPr="00264751" w:rsidRDefault="00264751" w:rsidP="000C39ED">
      <w:pPr>
        <w:pStyle w:val="Note"/>
        <w:numPr>
          <w:ilvl w:val="0"/>
          <w:numId w:val="16"/>
        </w:numPr>
        <w:spacing w:after="120"/>
        <w:ind w:left="360"/>
      </w:pPr>
      <w:r w:rsidRPr="00264751">
        <w:t>Staff must promptly notify the Network Operations Control (NOC) when encountering situations where:</w:t>
      </w:r>
    </w:p>
    <w:p w14:paraId="09D1327B" w14:textId="77777777" w:rsidR="00264751" w:rsidRPr="00264751" w:rsidRDefault="00264751" w:rsidP="000C39ED">
      <w:pPr>
        <w:pStyle w:val="Note"/>
        <w:numPr>
          <w:ilvl w:val="1"/>
          <w:numId w:val="12"/>
        </w:numPr>
        <w:spacing w:after="120"/>
        <w:ind w:left="1080"/>
      </w:pPr>
      <w:r w:rsidRPr="00264751">
        <w:t xml:space="preserve">The </w:t>
      </w:r>
      <w:r w:rsidR="00F24220">
        <w:t>Service Animal</w:t>
      </w:r>
      <w:r w:rsidRPr="00264751">
        <w:t xml:space="preserve"> poses a safety concern</w:t>
      </w:r>
    </w:p>
    <w:p w14:paraId="398A5933" w14:textId="77777777" w:rsidR="00264751" w:rsidRPr="00264751" w:rsidRDefault="00264751" w:rsidP="000C39ED">
      <w:pPr>
        <w:pStyle w:val="Note"/>
        <w:numPr>
          <w:ilvl w:val="1"/>
          <w:numId w:val="12"/>
        </w:numPr>
        <w:ind w:left="1080"/>
      </w:pPr>
      <w:r w:rsidRPr="00264751">
        <w:t>Staff or customers have an allergy, fear, or phobia that creates conflict</w:t>
      </w:r>
    </w:p>
    <w:p w14:paraId="3701C3CD" w14:textId="77777777" w:rsidR="007A3157" w:rsidRDefault="007A3157">
      <w:pPr>
        <w:spacing w:after="0"/>
        <w:rPr>
          <w:b/>
          <w:bCs/>
          <w:sz w:val="28"/>
          <w:szCs w:val="28"/>
        </w:rPr>
      </w:pPr>
      <w:r>
        <w:rPr>
          <w:caps/>
        </w:rPr>
        <w:br w:type="page"/>
      </w:r>
    </w:p>
    <w:p w14:paraId="0D7972F0" w14:textId="2630BE50" w:rsidR="002C53DA" w:rsidRDefault="00024B9A" w:rsidP="00DC2569">
      <w:pPr>
        <w:pStyle w:val="Heading4"/>
        <w:spacing w:before="360" w:after="120"/>
      </w:pPr>
      <w:r>
        <w:rPr>
          <w:caps w:val="0"/>
        </w:rPr>
        <w:lastRenderedPageBreak/>
        <w:t>ROLES AND RESPONSIBILITIES</w:t>
      </w:r>
    </w:p>
    <w:p w14:paraId="69C795D1" w14:textId="57B65318" w:rsidR="001A52A3" w:rsidRDefault="001A52A3" w:rsidP="007A3157">
      <w:pPr>
        <w:pStyle w:val="Note"/>
        <w:ind w:left="0" w:firstLine="0"/>
      </w:pPr>
      <w:r>
        <w:t xml:space="preserve">All Metrolinx </w:t>
      </w:r>
      <w:r w:rsidR="00FB7D25">
        <w:t>staff</w:t>
      </w:r>
      <w:r>
        <w:t xml:space="preserve"> are required to adhere to the AODA </w:t>
      </w:r>
      <w:r w:rsidR="001A145B">
        <w:t xml:space="preserve">and the Human Rights Code requirements </w:t>
      </w:r>
      <w:r>
        <w:t>re</w:t>
      </w:r>
      <w:r w:rsidR="00B64297">
        <w:t>garding</w:t>
      </w:r>
      <w:r>
        <w:t xml:space="preserve"> </w:t>
      </w:r>
      <w:r w:rsidR="00F24220">
        <w:t>Service Animal</w:t>
      </w:r>
      <w:r>
        <w:t>s.</w:t>
      </w:r>
    </w:p>
    <w:p w14:paraId="28CB5349" w14:textId="76B83146" w:rsidR="001A52A3" w:rsidRDefault="3BCE9E3A" w:rsidP="007A3157">
      <w:pPr>
        <w:pStyle w:val="Note"/>
        <w:spacing w:after="120"/>
        <w:ind w:left="1077" w:hanging="1077"/>
      </w:pPr>
      <w:r>
        <w:t>Responsibilities based on role include:</w:t>
      </w:r>
    </w:p>
    <w:p w14:paraId="4BDCC969" w14:textId="3E770E6D" w:rsidR="3C93F245" w:rsidRDefault="3C93F245" w:rsidP="007A3157">
      <w:pPr>
        <w:spacing w:after="120"/>
        <w:ind w:left="1080" w:hanging="1080"/>
      </w:pPr>
      <w:r w:rsidRPr="2316BF29">
        <w:rPr>
          <w:rFonts w:eastAsia="Arial" w:cs="Arial"/>
          <w:b/>
          <w:bCs/>
        </w:rPr>
        <w:t>Vice-President Customer Experience within CTO</w:t>
      </w:r>
    </w:p>
    <w:p w14:paraId="094A8341" w14:textId="77777777" w:rsidR="001A52A3" w:rsidRDefault="001A52A3" w:rsidP="007A3157">
      <w:pPr>
        <w:pStyle w:val="Note"/>
        <w:numPr>
          <w:ilvl w:val="0"/>
          <w:numId w:val="13"/>
        </w:numPr>
        <w:rPr>
          <w:bCs w:val="0"/>
        </w:rPr>
      </w:pPr>
      <w:r w:rsidRPr="0009594C">
        <w:rPr>
          <w:bCs w:val="0"/>
        </w:rPr>
        <w:t>Approval of the policy and its str</w:t>
      </w:r>
      <w:r>
        <w:rPr>
          <w:bCs w:val="0"/>
        </w:rPr>
        <w:t>u</w:t>
      </w:r>
      <w:r w:rsidRPr="0009594C">
        <w:rPr>
          <w:bCs w:val="0"/>
        </w:rPr>
        <w:t>ctures.</w:t>
      </w:r>
    </w:p>
    <w:p w14:paraId="0A9A1D13" w14:textId="4B6EB66B" w:rsidR="001A52A3" w:rsidRDefault="001A52A3" w:rsidP="007A3157">
      <w:pPr>
        <w:pStyle w:val="Note"/>
        <w:spacing w:after="120"/>
        <w:rPr>
          <w:b/>
        </w:rPr>
      </w:pPr>
      <w:r w:rsidRPr="006307EF">
        <w:rPr>
          <w:b/>
        </w:rPr>
        <w:t>Directors, Managers and Supervisors</w:t>
      </w:r>
    </w:p>
    <w:p w14:paraId="555A07D1" w14:textId="77777777" w:rsidR="001A52A3" w:rsidRDefault="001A52A3" w:rsidP="007A3157">
      <w:pPr>
        <w:pStyle w:val="Note"/>
        <w:numPr>
          <w:ilvl w:val="0"/>
          <w:numId w:val="13"/>
        </w:numPr>
        <w:rPr>
          <w:bCs w:val="0"/>
        </w:rPr>
      </w:pPr>
      <w:r>
        <w:rPr>
          <w:bCs w:val="0"/>
        </w:rPr>
        <w:t>Taking responsibility for ensuring the policy is followed as required.</w:t>
      </w:r>
    </w:p>
    <w:p w14:paraId="79EAB351" w14:textId="5376715E" w:rsidR="001A52A3" w:rsidRDefault="00514B35" w:rsidP="007A3157">
      <w:pPr>
        <w:pStyle w:val="Note"/>
        <w:spacing w:after="120"/>
        <w:rPr>
          <w:b/>
        </w:rPr>
      </w:pPr>
      <w:r>
        <w:rPr>
          <w:b/>
        </w:rPr>
        <w:t>Staff</w:t>
      </w:r>
    </w:p>
    <w:p w14:paraId="3BEE14D3" w14:textId="3C3FE978" w:rsidR="001A52A3" w:rsidRPr="0018515A" w:rsidRDefault="00821D9F" w:rsidP="007A3157">
      <w:pPr>
        <w:pStyle w:val="Note"/>
        <w:numPr>
          <w:ilvl w:val="0"/>
          <w:numId w:val="13"/>
        </w:numPr>
      </w:pPr>
      <w:r>
        <w:t xml:space="preserve">Adhering to the policy and training </w:t>
      </w:r>
      <w:r w:rsidR="008520D4">
        <w:t xml:space="preserve">regarding </w:t>
      </w:r>
      <w:r w:rsidR="000C13FA">
        <w:t>Service Animals</w:t>
      </w:r>
      <w:r w:rsidR="001A52A3">
        <w:t>.</w:t>
      </w:r>
    </w:p>
    <w:p w14:paraId="6AC3E1E2" w14:textId="77777777" w:rsidR="00D418EA" w:rsidRDefault="00D418EA" w:rsidP="00DC2569">
      <w:pPr>
        <w:pStyle w:val="Heading4"/>
        <w:spacing w:before="360" w:after="120"/>
      </w:pPr>
      <w:r>
        <w:t>REPORTING REQUIREMENTS</w:t>
      </w:r>
    </w:p>
    <w:p w14:paraId="57195C49" w14:textId="70483A8D" w:rsidR="00D6488C" w:rsidRDefault="00D6488C" w:rsidP="00D6488C">
      <w:r>
        <w:t xml:space="preserve">All </w:t>
      </w:r>
      <w:r w:rsidR="00FB7D25">
        <w:t xml:space="preserve">staff </w:t>
      </w:r>
      <w:r>
        <w:t xml:space="preserve">who encounter an incident involving a customer with a </w:t>
      </w:r>
      <w:r w:rsidR="00F24220">
        <w:t>Service Animal</w:t>
      </w:r>
      <w:r>
        <w:t xml:space="preserve"> are required to report it to </w:t>
      </w:r>
      <w:r w:rsidR="00564520">
        <w:t>the NOC</w:t>
      </w:r>
      <w:r w:rsidR="00393CF0">
        <w:t>,</w:t>
      </w:r>
      <w:r>
        <w:t xml:space="preserve"> which will document the details and notify the relevant authorities.</w:t>
      </w:r>
    </w:p>
    <w:p w14:paraId="3C279D1C" w14:textId="1CD87477" w:rsidR="00D418EA" w:rsidRDefault="00D418EA" w:rsidP="00DC2569">
      <w:pPr>
        <w:pStyle w:val="Heading4"/>
        <w:spacing w:before="360" w:after="120"/>
      </w:pPr>
      <w:r>
        <w:t xml:space="preserve">ESCALATIONS </w:t>
      </w:r>
      <w:r w:rsidR="00024B9A">
        <w:rPr>
          <w:caps w:val="0"/>
        </w:rPr>
        <w:t xml:space="preserve">AND </w:t>
      </w:r>
      <w:r>
        <w:t>EXCEPTIONS</w:t>
      </w:r>
    </w:p>
    <w:p w14:paraId="336C5A73" w14:textId="628A3F22" w:rsidR="000D6A13" w:rsidRDefault="00A6013D" w:rsidP="00024B9A">
      <w:r>
        <w:t xml:space="preserve">While Metrolinx adhere to AODA </w:t>
      </w:r>
      <w:r w:rsidR="000C13FA">
        <w:t>requirement</w:t>
      </w:r>
      <w:r>
        <w:t>s</w:t>
      </w:r>
      <w:r w:rsidR="00474133">
        <w:t xml:space="preserve"> and </w:t>
      </w:r>
      <w:r w:rsidR="00393CF0">
        <w:t xml:space="preserve">ensures </w:t>
      </w:r>
      <w:r w:rsidR="00474133">
        <w:t>compliance with the Code</w:t>
      </w:r>
      <w:r>
        <w:t>, th</w:t>
      </w:r>
      <w:r w:rsidR="00474133">
        <w:t>is</w:t>
      </w:r>
      <w:r>
        <w:t xml:space="preserve"> does not supersede standards of behaviour that are essential for both customer safety and for ensuring the safe operation of a vehicle. If the presence of a </w:t>
      </w:r>
      <w:r w:rsidR="00F24220">
        <w:t>Service Animal</w:t>
      </w:r>
      <w:r>
        <w:t xml:space="preserve"> affects the safety of </w:t>
      </w:r>
      <w:r w:rsidR="004A504E">
        <w:t xml:space="preserve">staff, </w:t>
      </w:r>
      <w:r w:rsidR="00647D1D">
        <w:t>customers</w:t>
      </w:r>
      <w:r w:rsidR="004A504E">
        <w:t>,</w:t>
      </w:r>
      <w:r w:rsidR="00647D1D">
        <w:t xml:space="preserve"> or </w:t>
      </w:r>
      <w:r w:rsidR="00393CF0">
        <w:t xml:space="preserve">the </w:t>
      </w:r>
      <w:r w:rsidR="004A504E">
        <w:t xml:space="preserve">operation </w:t>
      </w:r>
      <w:r w:rsidR="00647D1D">
        <w:t xml:space="preserve">of </w:t>
      </w:r>
      <w:r>
        <w:t xml:space="preserve">the vehicle, the customer and their </w:t>
      </w:r>
      <w:r w:rsidR="00F24220">
        <w:t>Service Animal</w:t>
      </w:r>
      <w:r w:rsidR="00474133">
        <w:t xml:space="preserve"> may be required to vacate</w:t>
      </w:r>
      <w:r>
        <w:t xml:space="preserve"> Metrolinx</w:t>
      </w:r>
      <w:r w:rsidR="00474133">
        <w:t xml:space="preserve"> services and</w:t>
      </w:r>
      <w:r>
        <w:t xml:space="preserve"> property.</w:t>
      </w:r>
    </w:p>
    <w:p w14:paraId="389E599F" w14:textId="17E86B18" w:rsidR="4722C96A" w:rsidRDefault="4722C96A" w:rsidP="007A3157">
      <w:pPr>
        <w:pStyle w:val="Heading3"/>
        <w:spacing w:before="360" w:after="120"/>
        <w:rPr>
          <w:rFonts w:cs="Times New Roman"/>
          <w:b/>
          <w:caps/>
          <w:color w:val="auto"/>
          <w:sz w:val="28"/>
          <w:szCs w:val="28"/>
        </w:rPr>
      </w:pPr>
      <w:r w:rsidRPr="1969088B">
        <w:rPr>
          <w:rFonts w:cs="Times New Roman"/>
          <w:b/>
          <w:caps/>
          <w:color w:val="auto"/>
          <w:sz w:val="28"/>
          <w:szCs w:val="28"/>
        </w:rPr>
        <w:t>Pet Policy (Non–Service Animals)</w:t>
      </w:r>
    </w:p>
    <w:p w14:paraId="20E0A83D" w14:textId="42B43681" w:rsidR="4722C96A" w:rsidRDefault="4722C96A" w:rsidP="00D76A9F">
      <w:r w:rsidRPr="1969088B">
        <w:rPr>
          <w:rFonts w:eastAsia="Arial" w:cs="Arial"/>
        </w:rPr>
        <w:t xml:space="preserve">The Metrolinx Pet Policy applies to animals that are </w:t>
      </w:r>
      <w:r w:rsidRPr="1969088B">
        <w:rPr>
          <w:rFonts w:eastAsia="Arial" w:cs="Arial"/>
          <w:b/>
          <w:bCs/>
        </w:rPr>
        <w:t>not classified as Service Animals</w:t>
      </w:r>
      <w:r w:rsidRPr="1969088B">
        <w:rPr>
          <w:rFonts w:eastAsia="Arial" w:cs="Arial"/>
        </w:rPr>
        <w:t>.</w:t>
      </w:r>
    </w:p>
    <w:p w14:paraId="387F1982" w14:textId="10419D28" w:rsidR="4722C96A" w:rsidRDefault="4722C96A" w:rsidP="00D76A9F">
      <w:r w:rsidRPr="1969088B">
        <w:rPr>
          <w:rFonts w:eastAsia="Arial" w:cs="Arial"/>
        </w:rPr>
        <w:t xml:space="preserve">Service Animals are </w:t>
      </w:r>
      <w:proofErr w:type="gramStart"/>
      <w:r w:rsidRPr="1969088B">
        <w:rPr>
          <w:rFonts w:eastAsia="Arial" w:cs="Arial"/>
        </w:rPr>
        <w:t>permitted at all times</w:t>
      </w:r>
      <w:proofErr w:type="gramEnd"/>
      <w:r w:rsidRPr="1969088B">
        <w:rPr>
          <w:rFonts w:eastAsia="Arial" w:cs="Arial"/>
        </w:rPr>
        <w:t xml:space="preserve"> and are </w:t>
      </w:r>
      <w:r w:rsidRPr="1969088B">
        <w:rPr>
          <w:rFonts w:eastAsia="Arial" w:cs="Arial"/>
          <w:b/>
          <w:bCs/>
        </w:rPr>
        <w:t>not subject to the restrictions outlined in the Pet Policy</w:t>
      </w:r>
      <w:r w:rsidRPr="1969088B">
        <w:rPr>
          <w:rFonts w:eastAsia="Arial" w:cs="Arial"/>
        </w:rPr>
        <w:t>. These restrictions (e.g., time-of-day limits, carrier requirements, and location guidelines) apply only to pets.</w:t>
      </w:r>
    </w:p>
    <w:p w14:paraId="2721539E" w14:textId="0A85973F" w:rsidR="4722C96A" w:rsidRDefault="4722C96A" w:rsidP="00D76A9F">
      <w:r w:rsidRPr="1969088B">
        <w:rPr>
          <w:rFonts w:eastAsia="Arial" w:cs="Arial"/>
        </w:rPr>
        <w:t>Staff must not apply Pet Policy rules to customers travelling with Service Animals.</w:t>
      </w:r>
    </w:p>
    <w:p w14:paraId="1077DA20" w14:textId="1D7D9DD5" w:rsidR="4722C96A" w:rsidRDefault="4722C96A" w:rsidP="00D76A9F">
      <w:r w:rsidRPr="1969088B">
        <w:rPr>
          <w:rFonts w:eastAsia="Arial" w:cs="Arial"/>
        </w:rPr>
        <w:t>Customers travelling with pets must follow the requirements outlined in the Metrolinx Pet Policy.</w:t>
      </w:r>
    </w:p>
    <w:p w14:paraId="26640471" w14:textId="1371037B" w:rsidR="00125DFB" w:rsidRDefault="00125DFB" w:rsidP="00947305">
      <w:pPr>
        <w:pStyle w:val="Heading4"/>
        <w:spacing w:before="360" w:after="120"/>
      </w:pPr>
      <w:r>
        <w:t>REFERENCES</w:t>
      </w:r>
    </w:p>
    <w:p w14:paraId="585441A4" w14:textId="77777777" w:rsidR="00CC4AC3" w:rsidRPr="0074490A" w:rsidRDefault="00CC4AC3" w:rsidP="005E68E5">
      <w:pPr>
        <w:pStyle w:val="Note"/>
        <w:numPr>
          <w:ilvl w:val="0"/>
          <w:numId w:val="13"/>
        </w:numPr>
        <w:spacing w:after="60"/>
        <w:rPr>
          <w:i/>
          <w:iCs/>
        </w:rPr>
      </w:pPr>
      <w:hyperlink r:id="rId16" w:history="1">
        <w:r w:rsidRPr="0074490A">
          <w:rPr>
            <w:rStyle w:val="Hyperlink"/>
            <w:i/>
            <w:iCs/>
            <w:u w:val="none"/>
          </w:rPr>
          <w:t>Accessibility for Ontarians with Disabilities Act</w:t>
        </w:r>
      </w:hyperlink>
    </w:p>
    <w:p w14:paraId="7819B8DC" w14:textId="77777777" w:rsidR="00C929DD" w:rsidRPr="005E68E5" w:rsidRDefault="00B804BE" w:rsidP="005E68E5">
      <w:pPr>
        <w:pStyle w:val="Note"/>
        <w:numPr>
          <w:ilvl w:val="0"/>
          <w:numId w:val="13"/>
        </w:numPr>
        <w:spacing w:after="60"/>
        <w:rPr>
          <w:i/>
          <w:iCs/>
        </w:rPr>
      </w:pPr>
      <w:hyperlink r:id="rId17" w:history="1">
        <w:r w:rsidRPr="005E68E5">
          <w:rPr>
            <w:rStyle w:val="Hyperlink"/>
            <w:i/>
            <w:iCs/>
            <w:u w:val="none"/>
          </w:rPr>
          <w:t>The Blind Persons Act</w:t>
        </w:r>
      </w:hyperlink>
    </w:p>
    <w:p w14:paraId="78BEA198" w14:textId="511D9CEB" w:rsidR="00CC4AC3" w:rsidRPr="0074490A" w:rsidRDefault="00474133" w:rsidP="005E68E5">
      <w:pPr>
        <w:pStyle w:val="Note"/>
        <w:numPr>
          <w:ilvl w:val="0"/>
          <w:numId w:val="13"/>
        </w:numPr>
        <w:spacing w:after="60"/>
      </w:pPr>
      <w:hyperlink r:id="rId18" w:history="1">
        <w:r w:rsidRPr="00C929DD">
          <w:rPr>
            <w:rStyle w:val="Hyperlink"/>
            <w:u w:val="none"/>
          </w:rPr>
          <w:t>Ontario Human Rights Code</w:t>
        </w:r>
      </w:hyperlink>
    </w:p>
    <w:p w14:paraId="2FD8F1F4" w14:textId="7E534FD6" w:rsidR="00861A11" w:rsidRDefault="00CC4AC3" w:rsidP="00C8677C">
      <w:pPr>
        <w:pStyle w:val="Note"/>
        <w:numPr>
          <w:ilvl w:val="0"/>
          <w:numId w:val="13"/>
        </w:numPr>
      </w:pPr>
      <w:hyperlink r:id="rId19" w:history="1">
        <w:r w:rsidRPr="0074490A">
          <w:rPr>
            <w:rStyle w:val="Hyperlink"/>
            <w:u w:val="none"/>
          </w:rPr>
          <w:t>Pet Policy (Bus Operations Information Bulletin 22-251)</w:t>
        </w:r>
      </w:hyperlink>
    </w:p>
    <w:p w14:paraId="52743B63" w14:textId="77777777" w:rsidR="0008726E" w:rsidRPr="00D3279A" w:rsidRDefault="0008726E" w:rsidP="0035009F">
      <w:pPr>
        <w:pStyle w:val="Heading4"/>
        <w:spacing w:after="120"/>
      </w:pPr>
      <w:bookmarkStart w:id="5" w:name="_Hlk71103508"/>
      <w:r w:rsidRPr="00D3279A">
        <w:lastRenderedPageBreak/>
        <w:t>DEFINITIONS</w:t>
      </w:r>
      <w:bookmarkEnd w:id="5"/>
    </w:p>
    <w:p w14:paraId="53AD5485" w14:textId="5FD14E7A" w:rsidR="004F2657" w:rsidRDefault="004F2657" w:rsidP="004F2657">
      <w:pPr>
        <w:pStyle w:val="Note"/>
        <w:numPr>
          <w:ilvl w:val="0"/>
          <w:numId w:val="17"/>
        </w:numPr>
      </w:pPr>
      <w:r w:rsidRPr="00354585">
        <w:rPr>
          <w:b/>
          <w:bCs w:val="0"/>
        </w:rPr>
        <w:t xml:space="preserve">AODA </w:t>
      </w:r>
      <w:r w:rsidRPr="00461E73">
        <w:t xml:space="preserve">– The </w:t>
      </w:r>
      <w:r w:rsidRPr="0099084A">
        <w:rPr>
          <w:i/>
          <w:iCs/>
        </w:rPr>
        <w:t>Accessibility for Ontarians with Disabilities Act</w:t>
      </w:r>
      <w:r>
        <w:t>, which list</w:t>
      </w:r>
      <w:r w:rsidR="005B2261">
        <w:t>s</w:t>
      </w:r>
      <w:r>
        <w:t xml:space="preserve"> requirements for businesses to lawfully accommodate persons with disabilities.</w:t>
      </w:r>
    </w:p>
    <w:p w14:paraId="307351AE" w14:textId="77777777" w:rsidR="00524A91" w:rsidRPr="00ED58AA" w:rsidRDefault="00524A91" w:rsidP="003016E1">
      <w:pPr>
        <w:pStyle w:val="Note"/>
        <w:numPr>
          <w:ilvl w:val="0"/>
          <w:numId w:val="17"/>
        </w:numPr>
        <w:spacing w:after="120"/>
        <w:rPr>
          <w:b/>
        </w:rPr>
      </w:pPr>
      <w:r>
        <w:rPr>
          <w:rStyle w:val="Strong"/>
        </w:rPr>
        <w:t>Disruptive Behaviour (</w:t>
      </w:r>
      <w:r w:rsidR="00F24220">
        <w:rPr>
          <w:rStyle w:val="Strong"/>
        </w:rPr>
        <w:t>Service Animal</w:t>
      </w:r>
      <w:r>
        <w:rPr>
          <w:rStyle w:val="Strong"/>
        </w:rPr>
        <w:t>)</w:t>
      </w:r>
      <w:r w:rsidRPr="00354585">
        <w:rPr>
          <w:b/>
          <w:bCs w:val="0"/>
        </w:rPr>
        <w:t xml:space="preserve"> </w:t>
      </w:r>
      <w:r w:rsidRPr="00461E73">
        <w:t>–</w:t>
      </w:r>
      <w:r>
        <w:t xml:space="preserve"> Disruptive behaviour refers to any actions by a </w:t>
      </w:r>
      <w:r w:rsidR="00F24220">
        <w:t>Service Animal</w:t>
      </w:r>
      <w:r>
        <w:t xml:space="preserve"> that interfere with the safe operation of Metrolinx vehicles, the comfort of other customers, or the ability of staff to provide services. Examples of disruptive behaviour may include, but are not limited to:</w:t>
      </w:r>
    </w:p>
    <w:p w14:paraId="53115A6C" w14:textId="77777777" w:rsidR="00524A91" w:rsidRPr="00ED58AA" w:rsidRDefault="00524A91" w:rsidP="00524A91">
      <w:pPr>
        <w:pStyle w:val="NormalWeb"/>
        <w:numPr>
          <w:ilvl w:val="0"/>
          <w:numId w:val="18"/>
        </w:numPr>
        <w:spacing w:before="0" w:beforeAutospacing="0" w:after="120" w:afterAutospacing="0"/>
        <w:rPr>
          <w:rFonts w:ascii="Arial" w:hAnsi="Arial"/>
          <w:bCs/>
          <w:lang w:val="en-CA"/>
        </w:rPr>
      </w:pPr>
      <w:r w:rsidRPr="00ED58AA">
        <w:rPr>
          <w:rFonts w:ascii="Arial" w:hAnsi="Arial"/>
          <w:bCs/>
          <w:lang w:val="en-CA"/>
        </w:rPr>
        <w:t>Excessive barking, whining, or vocalization</w:t>
      </w:r>
    </w:p>
    <w:p w14:paraId="5BC6D5BF" w14:textId="77777777" w:rsidR="00524A91" w:rsidRPr="00ED58AA" w:rsidRDefault="00524A91" w:rsidP="00524A91">
      <w:pPr>
        <w:pStyle w:val="NormalWeb"/>
        <w:numPr>
          <w:ilvl w:val="0"/>
          <w:numId w:val="18"/>
        </w:numPr>
        <w:spacing w:before="0" w:beforeAutospacing="0" w:after="120" w:afterAutospacing="0"/>
        <w:rPr>
          <w:rFonts w:ascii="Arial" w:hAnsi="Arial"/>
          <w:bCs/>
          <w:lang w:val="en-CA"/>
        </w:rPr>
      </w:pPr>
      <w:r w:rsidRPr="00ED58AA">
        <w:rPr>
          <w:rFonts w:ascii="Arial" w:hAnsi="Arial"/>
          <w:bCs/>
          <w:lang w:val="en-CA"/>
        </w:rPr>
        <w:t>Jumping on or nudging other passengers</w:t>
      </w:r>
    </w:p>
    <w:p w14:paraId="7602EB88" w14:textId="77777777" w:rsidR="00524A91" w:rsidRPr="00ED58AA" w:rsidRDefault="00524A91" w:rsidP="00524A91">
      <w:pPr>
        <w:pStyle w:val="NormalWeb"/>
        <w:numPr>
          <w:ilvl w:val="0"/>
          <w:numId w:val="18"/>
        </w:numPr>
        <w:spacing w:before="0" w:beforeAutospacing="0" w:after="120" w:afterAutospacing="0"/>
        <w:rPr>
          <w:rFonts w:ascii="Arial" w:hAnsi="Arial"/>
          <w:bCs/>
          <w:lang w:val="en-CA"/>
        </w:rPr>
      </w:pPr>
      <w:r w:rsidRPr="00ED58AA">
        <w:rPr>
          <w:rFonts w:ascii="Arial" w:hAnsi="Arial"/>
          <w:bCs/>
          <w:lang w:val="en-CA"/>
        </w:rPr>
        <w:t>Blocking aisles, doors, or emergency exits</w:t>
      </w:r>
    </w:p>
    <w:p w14:paraId="6912B6DE" w14:textId="77777777" w:rsidR="00524A91" w:rsidRPr="00ED58AA" w:rsidRDefault="00524A91" w:rsidP="00524A91">
      <w:pPr>
        <w:pStyle w:val="NormalWeb"/>
        <w:numPr>
          <w:ilvl w:val="0"/>
          <w:numId w:val="18"/>
        </w:numPr>
        <w:spacing w:before="0" w:beforeAutospacing="0" w:after="120" w:afterAutospacing="0"/>
        <w:rPr>
          <w:rFonts w:ascii="Arial" w:hAnsi="Arial"/>
          <w:bCs/>
          <w:lang w:val="en-CA"/>
        </w:rPr>
      </w:pPr>
      <w:r w:rsidRPr="00ED58AA">
        <w:rPr>
          <w:rFonts w:ascii="Arial" w:hAnsi="Arial"/>
          <w:bCs/>
          <w:lang w:val="en-CA"/>
        </w:rPr>
        <w:t>Aggressive actions such as growling, lunging, or biting</w:t>
      </w:r>
    </w:p>
    <w:p w14:paraId="0DFE433C" w14:textId="274FA7B0" w:rsidR="00524A91" w:rsidRPr="00ED58AA" w:rsidRDefault="00524A91" w:rsidP="00524A91">
      <w:pPr>
        <w:pStyle w:val="NormalWeb"/>
        <w:numPr>
          <w:ilvl w:val="0"/>
          <w:numId w:val="18"/>
        </w:numPr>
        <w:spacing w:before="0" w:beforeAutospacing="0" w:after="120" w:afterAutospacing="0"/>
        <w:rPr>
          <w:rFonts w:ascii="Arial" w:hAnsi="Arial"/>
          <w:bCs/>
          <w:lang w:val="en-CA"/>
        </w:rPr>
      </w:pPr>
      <w:r w:rsidRPr="00ED58AA">
        <w:rPr>
          <w:rFonts w:ascii="Arial" w:hAnsi="Arial"/>
          <w:bCs/>
          <w:lang w:val="en-CA"/>
        </w:rPr>
        <w:t>Refusal to remain under the handler’s control (e.g., not responding to leash or harness)</w:t>
      </w:r>
    </w:p>
    <w:p w14:paraId="2229962F" w14:textId="0BCB4D9A" w:rsidR="00524A91" w:rsidRPr="00524A91" w:rsidRDefault="00524A91" w:rsidP="00524A91">
      <w:pPr>
        <w:pStyle w:val="NormalWeb"/>
        <w:numPr>
          <w:ilvl w:val="0"/>
          <w:numId w:val="18"/>
        </w:numPr>
        <w:spacing w:before="0" w:beforeAutospacing="0" w:after="240" w:afterAutospacing="0"/>
        <w:rPr>
          <w:rFonts w:ascii="Arial" w:hAnsi="Arial"/>
          <w:bCs/>
          <w:lang w:val="en-CA"/>
        </w:rPr>
      </w:pPr>
      <w:r w:rsidRPr="00ED58AA">
        <w:rPr>
          <w:rFonts w:ascii="Arial" w:hAnsi="Arial"/>
          <w:bCs/>
          <w:lang w:val="en-CA"/>
        </w:rPr>
        <w:t>Behavio</w:t>
      </w:r>
      <w:r>
        <w:rPr>
          <w:rFonts w:ascii="Arial" w:hAnsi="Arial"/>
          <w:bCs/>
          <w:lang w:val="en-CA"/>
        </w:rPr>
        <w:t>u</w:t>
      </w:r>
      <w:r w:rsidRPr="00ED58AA">
        <w:rPr>
          <w:rFonts w:ascii="Arial" w:hAnsi="Arial"/>
          <w:bCs/>
          <w:lang w:val="en-CA"/>
        </w:rPr>
        <w:t>r that poses a health, safety, or hygiene risk to customers, staff, or other animals</w:t>
      </w:r>
    </w:p>
    <w:p w14:paraId="55A7CA51" w14:textId="48FBB97C" w:rsidR="009B279B" w:rsidRPr="009B279B" w:rsidRDefault="004F2657" w:rsidP="1969088B">
      <w:pPr>
        <w:pStyle w:val="Note"/>
        <w:numPr>
          <w:ilvl w:val="0"/>
          <w:numId w:val="17"/>
        </w:numPr>
        <w:rPr>
          <w:rFonts w:eastAsia="Arial" w:cs="Arial"/>
          <w:color w:val="000000" w:themeColor="text1"/>
        </w:rPr>
      </w:pPr>
      <w:r w:rsidRPr="1969088B">
        <w:rPr>
          <w:b/>
        </w:rPr>
        <w:t xml:space="preserve">OHRC </w:t>
      </w:r>
      <w:r w:rsidR="0D5891A2" w:rsidRPr="1969088B">
        <w:rPr>
          <w:rFonts w:eastAsia="Arial" w:cs="Arial"/>
          <w:b/>
        </w:rPr>
        <w:t xml:space="preserve">– </w:t>
      </w:r>
      <w:r w:rsidR="0D5891A2" w:rsidRPr="1969088B">
        <w:rPr>
          <w:rFonts w:eastAsia="Arial" w:cs="Arial"/>
        </w:rPr>
        <w:t>The Ontario Human Rights Code</w:t>
      </w:r>
      <w:r w:rsidR="0D5891A2" w:rsidRPr="1969088B">
        <w:rPr>
          <w:rFonts w:eastAsia="Arial" w:cs="Arial"/>
          <w:b/>
        </w:rPr>
        <w:t xml:space="preserve"> prohibits actions that discriminate against people based on a protected ground in a protected social area.</w:t>
      </w:r>
    </w:p>
    <w:p w14:paraId="0E64407D" w14:textId="3993D0AF" w:rsidR="009B279B" w:rsidRPr="009B279B" w:rsidRDefault="5FA8AC71" w:rsidP="003016E1">
      <w:pPr>
        <w:pStyle w:val="Note"/>
        <w:numPr>
          <w:ilvl w:val="0"/>
          <w:numId w:val="17"/>
        </w:numPr>
        <w:spacing w:after="120"/>
        <w:rPr>
          <w:rFonts w:eastAsia="Arial" w:cs="Arial"/>
          <w:color w:val="000000" w:themeColor="text1"/>
        </w:rPr>
      </w:pPr>
      <w:r w:rsidRPr="1969088B">
        <w:rPr>
          <w:rFonts w:eastAsia="Arial" w:cs="Arial"/>
          <w:b/>
          <w:color w:val="000000" w:themeColor="text1"/>
        </w:rPr>
        <w:t>Service animals</w:t>
      </w:r>
      <w:r w:rsidRPr="1969088B">
        <w:rPr>
          <w:rFonts w:eastAsia="Arial" w:cs="Arial"/>
          <w:color w:val="000000" w:themeColor="text1"/>
        </w:rPr>
        <w:t xml:space="preserve"> are animals, often but not exclusively dogs, that are trained or utilized to help people with disabilities. Service Animals perform many tasks, including but not limited to:</w:t>
      </w:r>
    </w:p>
    <w:p w14:paraId="257086EF" w14:textId="6DF736B7" w:rsidR="009B279B" w:rsidRPr="009B279B" w:rsidRDefault="5FA8AC71" w:rsidP="004A6C3C">
      <w:pPr>
        <w:pStyle w:val="Note"/>
        <w:numPr>
          <w:ilvl w:val="1"/>
          <w:numId w:val="23"/>
        </w:numPr>
        <w:spacing w:after="120"/>
        <w:ind w:left="1440"/>
        <w:rPr>
          <w:rFonts w:eastAsia="Arial" w:cs="Arial"/>
          <w:color w:val="000000" w:themeColor="text1"/>
        </w:rPr>
      </w:pPr>
      <w:r w:rsidRPr="1969088B">
        <w:rPr>
          <w:rFonts w:eastAsia="Arial" w:cs="Arial"/>
          <w:color w:val="000000" w:themeColor="text1"/>
        </w:rPr>
        <w:t>Guiding a blind or person with vision loss around obstacles</w:t>
      </w:r>
    </w:p>
    <w:p w14:paraId="42B2AF48" w14:textId="0F0A3929" w:rsidR="009B279B" w:rsidRPr="009B279B" w:rsidRDefault="5FA8AC71" w:rsidP="004A6C3C">
      <w:pPr>
        <w:pStyle w:val="Note"/>
        <w:numPr>
          <w:ilvl w:val="1"/>
          <w:numId w:val="23"/>
        </w:numPr>
        <w:spacing w:after="120"/>
        <w:ind w:left="1440"/>
        <w:rPr>
          <w:rFonts w:eastAsia="Arial" w:cs="Arial"/>
          <w:color w:val="000000" w:themeColor="text1"/>
        </w:rPr>
      </w:pPr>
      <w:r w:rsidRPr="1969088B">
        <w:rPr>
          <w:rFonts w:eastAsia="Arial" w:cs="Arial"/>
          <w:color w:val="000000" w:themeColor="text1"/>
        </w:rPr>
        <w:t>Alerting a person with diabetes about low blood sugar levels</w:t>
      </w:r>
    </w:p>
    <w:p w14:paraId="34A11411" w14:textId="4A730646" w:rsidR="009B279B" w:rsidRPr="009B279B" w:rsidRDefault="5FA8AC71" w:rsidP="004A6C3C">
      <w:pPr>
        <w:pStyle w:val="Note"/>
        <w:numPr>
          <w:ilvl w:val="1"/>
          <w:numId w:val="23"/>
        </w:numPr>
        <w:spacing w:after="120"/>
        <w:ind w:left="1440"/>
        <w:rPr>
          <w:rFonts w:eastAsia="Arial" w:cs="Arial"/>
          <w:color w:val="000000" w:themeColor="text1"/>
        </w:rPr>
      </w:pPr>
      <w:r w:rsidRPr="1969088B">
        <w:rPr>
          <w:rFonts w:eastAsia="Arial" w:cs="Arial"/>
          <w:color w:val="000000" w:themeColor="text1"/>
        </w:rPr>
        <w:t>Protecting a person with epilepsy during seizures</w:t>
      </w:r>
    </w:p>
    <w:p w14:paraId="0FD53172" w14:textId="5A2DF0F1" w:rsidR="009B279B" w:rsidRPr="009B279B" w:rsidRDefault="5FA8AC71" w:rsidP="004A6C3C">
      <w:pPr>
        <w:pStyle w:val="Note"/>
        <w:numPr>
          <w:ilvl w:val="1"/>
          <w:numId w:val="23"/>
        </w:numPr>
        <w:spacing w:after="120"/>
        <w:ind w:left="1440"/>
        <w:rPr>
          <w:rFonts w:eastAsia="Arial" w:cs="Arial"/>
          <w:color w:val="000000" w:themeColor="text1"/>
        </w:rPr>
      </w:pPr>
      <w:r w:rsidRPr="1969088B">
        <w:rPr>
          <w:rFonts w:eastAsia="Arial" w:cs="Arial"/>
          <w:color w:val="000000" w:themeColor="text1"/>
        </w:rPr>
        <w:t>Calming a person with autism in an environment with sensory stimulation</w:t>
      </w:r>
    </w:p>
    <w:p w14:paraId="507D254A" w14:textId="0D4582C2" w:rsidR="009B279B" w:rsidRPr="009B279B" w:rsidRDefault="5FA8AC71" w:rsidP="004A6C3C">
      <w:pPr>
        <w:pStyle w:val="Note"/>
        <w:numPr>
          <w:ilvl w:val="1"/>
          <w:numId w:val="23"/>
        </w:numPr>
        <w:spacing w:after="120"/>
        <w:ind w:left="1440"/>
        <w:rPr>
          <w:rFonts w:eastAsia="Arial" w:cs="Arial"/>
          <w:color w:val="000000" w:themeColor="text1"/>
        </w:rPr>
      </w:pPr>
      <w:r w:rsidRPr="1969088B">
        <w:rPr>
          <w:rFonts w:eastAsia="Arial" w:cs="Arial"/>
          <w:color w:val="000000" w:themeColor="text1"/>
        </w:rPr>
        <w:t>Retrieving out-of-reach objects for a person with a disability</w:t>
      </w:r>
    </w:p>
    <w:p w14:paraId="79623038" w14:textId="3F397297" w:rsidR="009B279B" w:rsidRPr="009B279B" w:rsidRDefault="5FA8AC71" w:rsidP="004A6C3C">
      <w:pPr>
        <w:pStyle w:val="Note"/>
        <w:numPr>
          <w:ilvl w:val="1"/>
          <w:numId w:val="23"/>
        </w:numPr>
        <w:ind w:left="1440"/>
        <w:rPr>
          <w:rFonts w:eastAsia="Arial" w:cs="Arial"/>
          <w:color w:val="000000" w:themeColor="text1"/>
        </w:rPr>
      </w:pPr>
      <w:r w:rsidRPr="1969088B">
        <w:rPr>
          <w:rFonts w:eastAsia="Arial" w:cs="Arial"/>
          <w:color w:val="000000" w:themeColor="text1"/>
        </w:rPr>
        <w:t>Alerting a handler who is deaf or hard of hearing about sounds.</w:t>
      </w:r>
    </w:p>
    <w:p w14:paraId="3F759201" w14:textId="74131991" w:rsidR="009B279B" w:rsidRPr="009B279B" w:rsidRDefault="668923D8" w:rsidP="004A6C3C">
      <w:pPr>
        <w:pStyle w:val="Note"/>
        <w:ind w:left="0" w:firstLine="0"/>
        <w:jc w:val="both"/>
        <w:rPr>
          <w:rFonts w:eastAsia="Arial" w:cs="Arial"/>
          <w:color w:val="000000" w:themeColor="text1"/>
        </w:rPr>
      </w:pPr>
      <w:r w:rsidRPr="4A4DC3A1">
        <w:rPr>
          <w:rFonts w:eastAsia="Arial" w:cs="Arial"/>
        </w:rPr>
        <w:t xml:space="preserve">The </w:t>
      </w:r>
      <w:r w:rsidRPr="00B556D0">
        <w:rPr>
          <w:rFonts w:eastAsia="Arial" w:cs="Arial"/>
          <w:i/>
          <w:iCs/>
        </w:rPr>
        <w:t>Accessibility for Ontarians with Disabilities Act</w:t>
      </w:r>
      <w:r w:rsidRPr="4A4DC3A1">
        <w:rPr>
          <w:rFonts w:eastAsia="Arial" w:cs="Arial"/>
        </w:rPr>
        <w:t xml:space="preserve"> (AODA) does not prescribe which functions, such as the above, t</w:t>
      </w:r>
      <w:r w:rsidRPr="4A4DC3A1">
        <w:rPr>
          <w:rFonts w:eastAsia="Arial" w:cs="Arial"/>
          <w:color w:val="000000" w:themeColor="text1"/>
        </w:rPr>
        <w:t>hat a service animal might provide</w:t>
      </w:r>
      <w:r w:rsidR="72B03C90" w:rsidRPr="4A4DC3A1">
        <w:rPr>
          <w:rFonts w:eastAsia="Arial" w:cs="Arial"/>
          <w:color w:val="000000" w:themeColor="text1"/>
        </w:rPr>
        <w:t>.</w:t>
      </w:r>
    </w:p>
    <w:sectPr w:rsidR="009B279B" w:rsidRPr="009B279B" w:rsidSect="00811A29">
      <w:headerReference w:type="even" r:id="rId20"/>
      <w:headerReference w:type="default" r:id="rId21"/>
      <w:footerReference w:type="even" r:id="rId22"/>
      <w:footerReference w:type="default" r:id="rId23"/>
      <w:footerReference w:type="first" r:id="rId24"/>
      <w:pgSz w:w="12240" w:h="15840" w:code="1"/>
      <w:pgMar w:top="720" w:right="1080" w:bottom="360" w:left="108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B7593" w14:textId="77777777" w:rsidR="004A0D15" w:rsidRDefault="004A0D15">
      <w:r>
        <w:separator/>
      </w:r>
    </w:p>
  </w:endnote>
  <w:endnote w:type="continuationSeparator" w:id="0">
    <w:p w14:paraId="09147B0F" w14:textId="77777777" w:rsidR="004A0D15" w:rsidRDefault="004A0D15">
      <w:r>
        <w:continuationSeparator/>
      </w:r>
    </w:p>
  </w:endnote>
  <w:endnote w:type="continuationNotice" w:id="1">
    <w:p w14:paraId="2A265887" w14:textId="77777777" w:rsidR="004A0D15" w:rsidRDefault="004A0D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Regular">
    <w:panose1 w:val="020B0503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B831" w14:textId="77777777" w:rsidR="00194BEC" w:rsidRDefault="00194BEC" w:rsidP="00194BEC">
    <w:pPr>
      <w:pStyle w:val="Footer"/>
    </w:pPr>
    <w:r>
      <w:rPr>
        <w:noProof/>
        <w:lang w:eastAsia="en-CA"/>
      </w:rPr>
      <w:drawing>
        <wp:inline distT="0" distB="0" distL="0" distR="0" wp14:anchorId="49AA834A" wp14:editId="2D7B7F68">
          <wp:extent cx="6492240" cy="3632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ar letter size BK.png"/>
                  <pic:cNvPicPr/>
                </pic:nvPicPr>
                <pic:blipFill rotWithShape="1">
                  <a:blip r:embed="rId1" cstate="print">
                    <a:extLst>
                      <a:ext uri="{28A0092B-C50C-407E-A947-70E740481C1C}">
                        <a14:useLocalDpi xmlns:a14="http://schemas.microsoft.com/office/drawing/2010/main" val="0"/>
                      </a:ext>
                    </a:extLst>
                  </a:blip>
                  <a:srcRect l="2251" t="20797" r="1726" b="17714"/>
                  <a:stretch/>
                </pic:blipFill>
                <pic:spPr bwMode="auto">
                  <a:xfrm>
                    <a:off x="0" y="0"/>
                    <a:ext cx="6492240" cy="363202"/>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29" w:type="dxa"/>
      </w:tblCellMar>
      <w:tblLook w:val="04A0" w:firstRow="1" w:lastRow="0" w:firstColumn="1" w:lastColumn="0" w:noHBand="0" w:noVBand="1"/>
    </w:tblPr>
    <w:tblGrid>
      <w:gridCol w:w="899"/>
      <w:gridCol w:w="4133"/>
      <w:gridCol w:w="2516"/>
      <w:gridCol w:w="2532"/>
    </w:tblGrid>
    <w:tr w:rsidR="00194BEC" w:rsidRPr="0017421E" w14:paraId="3B33D474" w14:textId="77777777" w:rsidTr="00D946CC">
      <w:trPr>
        <w:trHeight w:val="352"/>
      </w:trPr>
      <w:tc>
        <w:tcPr>
          <w:tcW w:w="918" w:type="dxa"/>
          <w:vAlign w:val="center"/>
        </w:tcPr>
        <w:p w14:paraId="02581076" w14:textId="77777777" w:rsidR="00194BEC" w:rsidRPr="0017421E" w:rsidRDefault="00194BEC" w:rsidP="00D946CC">
          <w:pPr>
            <w:pStyle w:val="FooterEven"/>
            <w:rPr>
              <w:sz w:val="16"/>
            </w:rPr>
          </w:pPr>
        </w:p>
      </w:tc>
      <w:tc>
        <w:tcPr>
          <w:tcW w:w="4230" w:type="dxa"/>
          <w:vAlign w:val="center"/>
        </w:tcPr>
        <w:p w14:paraId="077C3E7C" w14:textId="77777777" w:rsidR="00194BEC" w:rsidRPr="0017421E" w:rsidRDefault="00194BEC" w:rsidP="00D946CC">
          <w:pPr>
            <w:pStyle w:val="Footer"/>
            <w:rPr>
              <w:sz w:val="16"/>
            </w:rPr>
          </w:pPr>
        </w:p>
      </w:tc>
      <w:tc>
        <w:tcPr>
          <w:tcW w:w="2574" w:type="dxa"/>
          <w:vAlign w:val="center"/>
        </w:tcPr>
        <w:p w14:paraId="4475D6B1" w14:textId="77777777" w:rsidR="00194BEC" w:rsidRPr="0017421E" w:rsidRDefault="00194BEC" w:rsidP="00D946CC">
          <w:pPr>
            <w:pStyle w:val="Footer"/>
            <w:rPr>
              <w:sz w:val="16"/>
            </w:rPr>
          </w:pPr>
        </w:p>
      </w:tc>
      <w:tc>
        <w:tcPr>
          <w:tcW w:w="2574" w:type="dxa"/>
          <w:vAlign w:val="center"/>
        </w:tcPr>
        <w:p w14:paraId="77BA253F" w14:textId="535D618C" w:rsidR="00194BEC" w:rsidRPr="0017421E" w:rsidRDefault="00194BEC" w:rsidP="00D946CC">
          <w:pPr>
            <w:pStyle w:val="FooterEven"/>
            <w:jc w:val="right"/>
            <w:rPr>
              <w:sz w:val="16"/>
            </w:rPr>
          </w:pPr>
          <w:r w:rsidRPr="0017421E">
            <w:rPr>
              <w:sz w:val="16"/>
            </w:rPr>
            <w:fldChar w:fldCharType="begin"/>
          </w:r>
          <w:r w:rsidRPr="0017421E">
            <w:rPr>
              <w:sz w:val="16"/>
            </w:rPr>
            <w:instrText xml:space="preserve"> DOCPROPERTY "Manual Code"  \* MERGEFORMAT </w:instrText>
          </w:r>
          <w:r w:rsidRPr="0017421E">
            <w:rPr>
              <w:sz w:val="16"/>
            </w:rPr>
            <w:fldChar w:fldCharType="separate"/>
          </w:r>
          <w:r w:rsidR="00797FED">
            <w:rPr>
              <w:sz w:val="16"/>
            </w:rPr>
            <w:t xml:space="preserve">[Assigned Manual </w:t>
          </w:r>
          <w:proofErr w:type="gramStart"/>
          <w:r w:rsidR="00797FED">
            <w:rPr>
              <w:sz w:val="16"/>
            </w:rPr>
            <w:t>Code]WP</w:t>
          </w:r>
          <w:proofErr w:type="gramEnd"/>
          <w:r w:rsidRPr="0017421E">
            <w:rPr>
              <w:sz w:val="16"/>
            </w:rPr>
            <w:fldChar w:fldCharType="end"/>
          </w:r>
        </w:p>
      </w:tc>
    </w:tr>
  </w:tbl>
  <w:p w14:paraId="4E6A35A4" w14:textId="77777777" w:rsidR="0015200B" w:rsidRPr="00194BEC" w:rsidRDefault="0015200B" w:rsidP="00194BEC">
    <w:pPr>
      <w:pStyle w:val="Footer"/>
      <w:spacing w:line="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030A" w14:textId="77777777" w:rsidR="006B73B4" w:rsidRDefault="006B73B4" w:rsidP="00F43879">
    <w:pPr>
      <w:pStyle w:val="Footer"/>
      <w:spacing w:line="140" w:lineRule="exact"/>
    </w:pPr>
  </w:p>
  <w:tbl>
    <w:tblPr>
      <w:tblW w:w="5000" w:type="pct"/>
      <w:tblBorders>
        <w:top w:val="single" w:sz="6" w:space="0" w:color="auto"/>
        <w:insideV w:val="single" w:sz="6" w:space="0" w:color="auto"/>
      </w:tblBorders>
      <w:tblCellMar>
        <w:top w:w="60" w:type="dxa"/>
        <w:left w:w="0" w:type="dxa"/>
        <w:right w:w="0" w:type="dxa"/>
      </w:tblCellMar>
      <w:tblLook w:val="04A0" w:firstRow="1" w:lastRow="0" w:firstColumn="1" w:lastColumn="0" w:noHBand="0" w:noVBand="1"/>
    </w:tblPr>
    <w:tblGrid>
      <w:gridCol w:w="3253"/>
      <w:gridCol w:w="6827"/>
    </w:tblGrid>
    <w:tr w:rsidR="002C2DF6" w:rsidRPr="00053D5E" w14:paraId="2D2F734A" w14:textId="77777777" w:rsidTr="009265B5">
      <w:trPr>
        <w:trHeight w:hRule="exact" w:val="435"/>
      </w:trPr>
      <w:tc>
        <w:tcPr>
          <w:tcW w:w="3253" w:type="dxa"/>
          <w:tcBorders>
            <w:top w:val="single" w:sz="6" w:space="0" w:color="1A1A1A"/>
            <w:right w:val="nil"/>
          </w:tcBorders>
          <w:vAlign w:val="center"/>
        </w:tcPr>
        <w:p w14:paraId="18FA5786" w14:textId="77777777" w:rsidR="002C2DF6" w:rsidRPr="00A13413" w:rsidRDefault="002C2DF6" w:rsidP="00D946CC">
          <w:pPr>
            <w:spacing w:after="0"/>
            <w:rPr>
              <w:b/>
              <w:sz w:val="16"/>
              <w:szCs w:val="16"/>
              <w:lang w:val="en-US"/>
            </w:rPr>
          </w:pPr>
          <w:r>
            <w:rPr>
              <w:b/>
              <w:noProof/>
              <w:sz w:val="16"/>
              <w:szCs w:val="16"/>
              <w:lang w:eastAsia="en-CA"/>
            </w:rPr>
            <w:drawing>
              <wp:inline distT="0" distB="0" distL="0" distR="0" wp14:anchorId="75D3843B" wp14:editId="4E84C843">
                <wp:extent cx="1143000" cy="1056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rolinx_Logo_EMF_2000.emf"/>
                        <pic:cNvPicPr/>
                      </pic:nvPicPr>
                      <pic:blipFill>
                        <a:blip r:embed="rId1">
                          <a:extLst>
                            <a:ext uri="{28A0092B-C50C-407E-A947-70E740481C1C}">
                              <a14:useLocalDpi xmlns:a14="http://schemas.microsoft.com/office/drawing/2010/main" val="0"/>
                            </a:ext>
                          </a:extLst>
                        </a:blip>
                        <a:stretch>
                          <a:fillRect/>
                        </a:stretch>
                      </pic:blipFill>
                      <pic:spPr>
                        <a:xfrm>
                          <a:off x="0" y="0"/>
                          <a:ext cx="1143000" cy="105615"/>
                        </a:xfrm>
                        <a:prstGeom prst="rect">
                          <a:avLst/>
                        </a:prstGeom>
                      </pic:spPr>
                    </pic:pic>
                  </a:graphicData>
                </a:graphic>
              </wp:inline>
            </w:drawing>
          </w:r>
        </w:p>
      </w:tc>
      <w:tc>
        <w:tcPr>
          <w:tcW w:w="6827" w:type="dxa"/>
          <w:tcBorders>
            <w:top w:val="single" w:sz="6" w:space="0" w:color="1A1A1A"/>
            <w:left w:val="nil"/>
          </w:tcBorders>
          <w:tcMar>
            <w:right w:w="72" w:type="dxa"/>
          </w:tcMar>
          <w:vAlign w:val="center"/>
        </w:tcPr>
        <w:p w14:paraId="56FC6EB1" w14:textId="133BDF74" w:rsidR="002C2DF6" w:rsidRPr="00053D5E" w:rsidRDefault="002C2DF6" w:rsidP="00D946CC">
          <w:pPr>
            <w:pStyle w:val="Footer"/>
            <w:jc w:val="right"/>
          </w:pPr>
          <w:r w:rsidRPr="0017421E">
            <w:rPr>
              <w:sz w:val="16"/>
            </w:rPr>
            <w:fldChar w:fldCharType="begin"/>
          </w:r>
          <w:r w:rsidRPr="0017421E">
            <w:rPr>
              <w:sz w:val="16"/>
            </w:rPr>
            <w:instrText xml:space="preserve"> DOCPROPERTY "Manual Code"  \* MERGEFORMAT </w:instrText>
          </w:r>
          <w:r w:rsidRPr="0017421E">
            <w:rPr>
              <w:sz w:val="16"/>
            </w:rPr>
            <w:fldChar w:fldCharType="separate"/>
          </w:r>
          <w:r w:rsidR="00743A6C">
            <w:rPr>
              <w:sz w:val="16"/>
            </w:rPr>
            <w:t>300WP</w:t>
          </w:r>
          <w:r w:rsidRPr="0017421E">
            <w:rPr>
              <w:sz w:val="16"/>
            </w:rPr>
            <w:fldChar w:fldCharType="end"/>
          </w:r>
        </w:p>
      </w:tc>
    </w:tr>
  </w:tbl>
  <w:p w14:paraId="1066A272" w14:textId="77777777" w:rsidR="0017421E" w:rsidRPr="0017421E" w:rsidRDefault="0017421E" w:rsidP="0017421E">
    <w:pPr>
      <w:pStyle w:val="Footer"/>
      <w:spacing w:line="80" w:lineRule="exact"/>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E92D" w14:textId="77777777" w:rsidR="00811A29" w:rsidRDefault="00811A29" w:rsidP="00F43879">
    <w:pPr>
      <w:pStyle w:val="Footer"/>
      <w:spacing w:line="140" w:lineRule="exact"/>
      <w:rPr>
        <w:sz w:val="10"/>
      </w:rPr>
    </w:pPr>
  </w:p>
  <w:tbl>
    <w:tblPr>
      <w:tblW w:w="5000" w:type="pct"/>
      <w:tblBorders>
        <w:top w:val="single" w:sz="6" w:space="0" w:color="auto"/>
        <w:insideV w:val="single" w:sz="6" w:space="0" w:color="auto"/>
      </w:tblBorders>
      <w:tblCellMar>
        <w:top w:w="60" w:type="dxa"/>
        <w:left w:w="0" w:type="dxa"/>
        <w:right w:w="0" w:type="dxa"/>
      </w:tblCellMar>
      <w:tblLook w:val="04A0" w:firstRow="1" w:lastRow="0" w:firstColumn="1" w:lastColumn="0" w:noHBand="0" w:noVBand="1"/>
    </w:tblPr>
    <w:tblGrid>
      <w:gridCol w:w="3253"/>
      <w:gridCol w:w="6827"/>
    </w:tblGrid>
    <w:tr w:rsidR="00F43879" w:rsidRPr="00053D5E" w14:paraId="02ABADD9" w14:textId="77777777" w:rsidTr="009265B5">
      <w:trPr>
        <w:trHeight w:hRule="exact" w:val="435"/>
      </w:trPr>
      <w:tc>
        <w:tcPr>
          <w:tcW w:w="3253" w:type="dxa"/>
          <w:tcBorders>
            <w:top w:val="single" w:sz="6" w:space="0" w:color="1A1A1A"/>
            <w:right w:val="nil"/>
          </w:tcBorders>
          <w:vAlign w:val="center"/>
        </w:tcPr>
        <w:p w14:paraId="588960A0" w14:textId="77777777" w:rsidR="00F43879" w:rsidRPr="00A13413" w:rsidRDefault="00F43879" w:rsidP="00D946CC">
          <w:pPr>
            <w:spacing w:after="0"/>
            <w:rPr>
              <w:b/>
              <w:sz w:val="16"/>
              <w:szCs w:val="16"/>
              <w:lang w:val="en-US"/>
            </w:rPr>
          </w:pPr>
          <w:r>
            <w:rPr>
              <w:b/>
              <w:noProof/>
              <w:sz w:val="16"/>
              <w:szCs w:val="16"/>
              <w:lang w:eastAsia="en-CA"/>
            </w:rPr>
            <w:drawing>
              <wp:inline distT="0" distB="0" distL="0" distR="0" wp14:anchorId="5703A3DB" wp14:editId="41B1E984">
                <wp:extent cx="1143000" cy="105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rolinx_Logo_EMF_2000.emf"/>
                        <pic:cNvPicPr/>
                      </pic:nvPicPr>
                      <pic:blipFill>
                        <a:blip r:embed="rId1">
                          <a:extLst>
                            <a:ext uri="{28A0092B-C50C-407E-A947-70E740481C1C}">
                              <a14:useLocalDpi xmlns:a14="http://schemas.microsoft.com/office/drawing/2010/main" val="0"/>
                            </a:ext>
                          </a:extLst>
                        </a:blip>
                        <a:stretch>
                          <a:fillRect/>
                        </a:stretch>
                      </pic:blipFill>
                      <pic:spPr>
                        <a:xfrm>
                          <a:off x="0" y="0"/>
                          <a:ext cx="1143000" cy="105615"/>
                        </a:xfrm>
                        <a:prstGeom prst="rect">
                          <a:avLst/>
                        </a:prstGeom>
                      </pic:spPr>
                    </pic:pic>
                  </a:graphicData>
                </a:graphic>
              </wp:inline>
            </w:drawing>
          </w:r>
        </w:p>
      </w:tc>
      <w:tc>
        <w:tcPr>
          <w:tcW w:w="6827" w:type="dxa"/>
          <w:tcBorders>
            <w:top w:val="single" w:sz="6" w:space="0" w:color="1A1A1A"/>
            <w:left w:val="nil"/>
          </w:tcBorders>
          <w:tcMar>
            <w:right w:w="72" w:type="dxa"/>
          </w:tcMar>
          <w:vAlign w:val="center"/>
        </w:tcPr>
        <w:p w14:paraId="294CCEF1" w14:textId="276B6852" w:rsidR="00F43879" w:rsidRPr="00053D5E" w:rsidRDefault="00F43879" w:rsidP="00D946CC">
          <w:pPr>
            <w:pStyle w:val="Footer"/>
            <w:jc w:val="right"/>
          </w:pPr>
          <w:r w:rsidRPr="0017421E">
            <w:rPr>
              <w:sz w:val="16"/>
            </w:rPr>
            <w:fldChar w:fldCharType="begin"/>
          </w:r>
          <w:r w:rsidRPr="0017421E">
            <w:rPr>
              <w:sz w:val="16"/>
            </w:rPr>
            <w:instrText xml:space="preserve"> DOCPROPERTY "Manual Code"  \* MERGEFORMAT </w:instrText>
          </w:r>
          <w:r w:rsidRPr="0017421E">
            <w:rPr>
              <w:sz w:val="16"/>
            </w:rPr>
            <w:fldChar w:fldCharType="separate"/>
          </w:r>
          <w:r w:rsidR="00743A6C">
            <w:rPr>
              <w:sz w:val="16"/>
            </w:rPr>
            <w:t>300WP</w:t>
          </w:r>
          <w:r w:rsidRPr="0017421E">
            <w:rPr>
              <w:sz w:val="16"/>
            </w:rPr>
            <w:fldChar w:fldCharType="end"/>
          </w:r>
        </w:p>
      </w:tc>
    </w:tr>
  </w:tbl>
  <w:p w14:paraId="0F391D73" w14:textId="77777777" w:rsidR="00F43879" w:rsidRPr="002C2DF6" w:rsidRDefault="00F43879" w:rsidP="002C2DF6">
    <w:pPr>
      <w:pStyle w:val="Footer"/>
      <w:spacing w:line="80" w:lineRule="exact"/>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9BFB6" w14:textId="77777777" w:rsidR="004A0D15" w:rsidRDefault="004A0D15">
      <w:r>
        <w:separator/>
      </w:r>
    </w:p>
  </w:footnote>
  <w:footnote w:type="continuationSeparator" w:id="0">
    <w:p w14:paraId="0E36FCAC" w14:textId="77777777" w:rsidR="004A0D15" w:rsidRDefault="004A0D15">
      <w:r>
        <w:continuationSeparator/>
      </w:r>
    </w:p>
  </w:footnote>
  <w:footnote w:type="continuationNotice" w:id="1">
    <w:p w14:paraId="76AF39A0" w14:textId="77777777" w:rsidR="004A0D15" w:rsidRDefault="004A0D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29" w:type="dxa"/>
      </w:tblCellMar>
      <w:tblLook w:val="0000" w:firstRow="0" w:lastRow="0" w:firstColumn="0" w:lastColumn="0" w:noHBand="0" w:noVBand="0"/>
    </w:tblPr>
    <w:tblGrid>
      <w:gridCol w:w="6523"/>
      <w:gridCol w:w="2070"/>
      <w:gridCol w:w="1566"/>
    </w:tblGrid>
    <w:tr w:rsidR="00194BEC" w14:paraId="7F3FA0EF" w14:textId="77777777" w:rsidTr="003B3A46">
      <w:trPr>
        <w:trHeight w:hRule="exact" w:val="541"/>
      </w:trPr>
      <w:tc>
        <w:tcPr>
          <w:tcW w:w="6523" w:type="dxa"/>
          <w:tcBorders>
            <w:top w:val="nil"/>
            <w:left w:val="nil"/>
            <w:bottom w:val="nil"/>
            <w:right w:val="nil"/>
          </w:tcBorders>
          <w:vAlign w:val="center"/>
        </w:tcPr>
        <w:p w14:paraId="08DE137E" w14:textId="77777777" w:rsidR="00194BEC" w:rsidRPr="006F4FBF" w:rsidRDefault="00194BEC" w:rsidP="00216EF1">
          <w:pPr>
            <w:pStyle w:val="HeaderTitleOdd"/>
            <w:ind w:left="72"/>
            <w:jc w:val="left"/>
            <w:rPr>
              <w:caps w:val="0"/>
            </w:rPr>
          </w:pPr>
        </w:p>
      </w:tc>
      <w:tc>
        <w:tcPr>
          <w:tcW w:w="2070" w:type="dxa"/>
          <w:tcBorders>
            <w:top w:val="nil"/>
            <w:left w:val="nil"/>
            <w:bottom w:val="nil"/>
            <w:right w:val="nil"/>
          </w:tcBorders>
          <w:vAlign w:val="center"/>
        </w:tcPr>
        <w:p w14:paraId="4A9E7DBF" w14:textId="77777777" w:rsidR="00194BEC" w:rsidRPr="006F4FBF" w:rsidRDefault="00194BEC" w:rsidP="00D946CC">
          <w:pPr>
            <w:pStyle w:val="HeaderTitleOdd"/>
            <w:jc w:val="right"/>
            <w:rPr>
              <w:b w:val="0"/>
              <w:caps w:val="0"/>
            </w:rPr>
          </w:pPr>
          <w:r w:rsidRPr="006F4FBF">
            <w:rPr>
              <w:b w:val="0"/>
              <w:caps w:val="0"/>
              <w:sz w:val="20"/>
            </w:rPr>
            <w:t xml:space="preserve">Policy No. </w:t>
          </w:r>
        </w:p>
      </w:tc>
      <w:tc>
        <w:tcPr>
          <w:tcW w:w="1566" w:type="dxa"/>
          <w:tcBorders>
            <w:top w:val="nil"/>
            <w:left w:val="nil"/>
            <w:bottom w:val="nil"/>
            <w:right w:val="nil"/>
          </w:tcBorders>
          <w:vAlign w:val="center"/>
        </w:tcPr>
        <w:p w14:paraId="3D4AF256" w14:textId="307388F3" w:rsidR="00194BEC" w:rsidRPr="006F4FBF" w:rsidRDefault="00194BEC" w:rsidP="00D946CC">
          <w:pPr>
            <w:pStyle w:val="HeaderPolicyno"/>
            <w:rPr>
              <w:b/>
            </w:rPr>
          </w:pPr>
          <w:r w:rsidRPr="006F4FBF">
            <w:rPr>
              <w:b/>
            </w:rPr>
            <w:fldChar w:fldCharType="begin"/>
          </w:r>
          <w:r w:rsidRPr="006F4FBF">
            <w:rPr>
              <w:b/>
            </w:rPr>
            <w:instrText xml:space="preserve"> DOCPROPERTY "Policy Number"  \* MERGEFORMAT </w:instrText>
          </w:r>
          <w:r w:rsidRPr="006F4FBF">
            <w:rPr>
              <w:b/>
            </w:rPr>
            <w:fldChar w:fldCharType="separate"/>
          </w:r>
          <w:r w:rsidR="00797FED">
            <w:rPr>
              <w:b/>
            </w:rPr>
            <w:t>XX-0000-00</w:t>
          </w:r>
          <w:r w:rsidRPr="006F4FBF">
            <w:rPr>
              <w:b/>
            </w:rPr>
            <w:fldChar w:fldCharType="end"/>
          </w:r>
        </w:p>
      </w:tc>
    </w:tr>
    <w:tr w:rsidR="00194BEC" w14:paraId="65202DBC" w14:textId="77777777" w:rsidTr="003B3A46">
      <w:trPr>
        <w:trHeight w:val="432"/>
      </w:trPr>
      <w:tc>
        <w:tcPr>
          <w:tcW w:w="6523" w:type="dxa"/>
          <w:tcBorders>
            <w:top w:val="nil"/>
            <w:left w:val="nil"/>
            <w:bottom w:val="nil"/>
            <w:right w:val="nil"/>
          </w:tcBorders>
          <w:vAlign w:val="center"/>
        </w:tcPr>
        <w:p w14:paraId="470DECE8" w14:textId="77777777" w:rsidR="00194BEC" w:rsidRPr="00EB075B" w:rsidRDefault="00194BEC" w:rsidP="00216EF1">
          <w:pPr>
            <w:pStyle w:val="HeaderPolicyno"/>
            <w:ind w:left="72"/>
            <w:jc w:val="left"/>
            <w:rPr>
              <w:b/>
            </w:rPr>
          </w:pPr>
        </w:p>
      </w:tc>
      <w:tc>
        <w:tcPr>
          <w:tcW w:w="2070" w:type="dxa"/>
          <w:tcBorders>
            <w:top w:val="nil"/>
            <w:left w:val="nil"/>
            <w:bottom w:val="nil"/>
            <w:right w:val="nil"/>
          </w:tcBorders>
          <w:vAlign w:val="center"/>
        </w:tcPr>
        <w:p w14:paraId="7C465253" w14:textId="77777777" w:rsidR="00194BEC" w:rsidRPr="00EB075B" w:rsidRDefault="00194BEC" w:rsidP="00D946CC">
          <w:pPr>
            <w:pStyle w:val="HeaderPolicyno"/>
            <w:jc w:val="left"/>
            <w:rPr>
              <w:b/>
            </w:rPr>
          </w:pPr>
        </w:p>
      </w:tc>
      <w:tc>
        <w:tcPr>
          <w:tcW w:w="1566" w:type="dxa"/>
          <w:tcBorders>
            <w:top w:val="nil"/>
            <w:left w:val="nil"/>
            <w:bottom w:val="nil"/>
            <w:right w:val="nil"/>
          </w:tcBorders>
          <w:vAlign w:val="center"/>
        </w:tcPr>
        <w:p w14:paraId="30D13662" w14:textId="77777777" w:rsidR="00194BEC" w:rsidRDefault="00194BEC" w:rsidP="00D946CC">
          <w:pPr>
            <w:pStyle w:val="HeaderLabel"/>
            <w:jc w:val="right"/>
          </w:pPr>
          <w:r>
            <w:t xml:space="preserve">Page  </w:t>
          </w:r>
          <w:r w:rsidRPr="007A5126">
            <w:rPr>
              <w:sz w:val="20"/>
            </w:rPr>
            <w:fldChar w:fldCharType="begin"/>
          </w:r>
          <w:r w:rsidRPr="007A5126">
            <w:rPr>
              <w:sz w:val="20"/>
            </w:rPr>
            <w:instrText xml:space="preserve"> PAGE </w:instrText>
          </w:r>
          <w:r w:rsidRPr="007A5126">
            <w:rPr>
              <w:sz w:val="20"/>
            </w:rPr>
            <w:fldChar w:fldCharType="separate"/>
          </w:r>
          <w:r w:rsidR="00907C04">
            <w:rPr>
              <w:noProof/>
              <w:sz w:val="20"/>
            </w:rPr>
            <w:t>3</w:t>
          </w:r>
          <w:r w:rsidRPr="007A5126">
            <w:rPr>
              <w:sz w:val="20"/>
            </w:rPr>
            <w:fldChar w:fldCharType="end"/>
          </w:r>
          <w:r w:rsidRPr="007A5126">
            <w:rPr>
              <w:sz w:val="20"/>
            </w:rPr>
            <w:t xml:space="preserve"> of </w:t>
          </w:r>
          <w:r w:rsidRPr="007A5126">
            <w:rPr>
              <w:sz w:val="20"/>
            </w:rPr>
            <w:fldChar w:fldCharType="begin"/>
          </w:r>
          <w:r w:rsidRPr="007A5126">
            <w:rPr>
              <w:sz w:val="20"/>
            </w:rPr>
            <w:instrText xml:space="preserve"> NUMPAGES </w:instrText>
          </w:r>
          <w:r w:rsidRPr="007A5126">
            <w:rPr>
              <w:sz w:val="20"/>
            </w:rPr>
            <w:fldChar w:fldCharType="separate"/>
          </w:r>
          <w:r w:rsidR="00534753">
            <w:rPr>
              <w:noProof/>
              <w:sz w:val="20"/>
            </w:rPr>
            <w:t>3</w:t>
          </w:r>
          <w:r w:rsidRPr="007A5126">
            <w:rPr>
              <w:noProof/>
              <w:sz w:val="20"/>
            </w:rPr>
            <w:fldChar w:fldCharType="end"/>
          </w:r>
        </w:p>
      </w:tc>
    </w:tr>
  </w:tbl>
  <w:p w14:paraId="1E8760DD" w14:textId="77777777" w:rsidR="00194BEC" w:rsidRPr="00194BEC" w:rsidRDefault="00194BEC" w:rsidP="00194BEC">
    <w:pPr>
      <w:spacing w:after="0"/>
      <w:rPr>
        <w:sz w:val="8"/>
      </w:rPr>
    </w:pPr>
  </w:p>
  <w:tbl>
    <w:tblPr>
      <w:tblStyle w:val="TableGrid"/>
      <w:tblW w:w="0" w:type="auto"/>
      <w:tblBorders>
        <w:top w:val="none" w:sz="0" w:space="0" w:color="auto"/>
        <w:left w:val="none" w:sz="0" w:space="0" w:color="auto"/>
        <w:right w:val="none" w:sz="0" w:space="0" w:color="auto"/>
        <w:insideV w:val="none" w:sz="0" w:space="0" w:color="auto"/>
      </w:tblBorders>
      <w:tblCellMar>
        <w:left w:w="43" w:type="dxa"/>
        <w:right w:w="29" w:type="dxa"/>
      </w:tblCellMar>
      <w:tblLook w:val="04A0" w:firstRow="1" w:lastRow="0" w:firstColumn="1" w:lastColumn="0" w:noHBand="0" w:noVBand="1"/>
    </w:tblPr>
    <w:tblGrid>
      <w:gridCol w:w="761"/>
      <w:gridCol w:w="5713"/>
      <w:gridCol w:w="1432"/>
      <w:gridCol w:w="2174"/>
    </w:tblGrid>
    <w:tr w:rsidR="00194BEC" w:rsidRPr="00AF0EE0" w14:paraId="1886BF42" w14:textId="77777777" w:rsidTr="00181B4B">
      <w:trPr>
        <w:trHeight w:val="432"/>
      </w:trPr>
      <w:tc>
        <w:tcPr>
          <w:tcW w:w="763" w:type="dxa"/>
          <w:tcBorders>
            <w:top w:val="single" w:sz="8" w:space="0" w:color="auto"/>
            <w:bottom w:val="single" w:sz="4" w:space="0" w:color="auto"/>
          </w:tcBorders>
          <w:vAlign w:val="center"/>
        </w:tcPr>
        <w:p w14:paraId="4A9BB069" w14:textId="77777777" w:rsidR="00194BEC" w:rsidRPr="00EB075B" w:rsidRDefault="00194BEC" w:rsidP="00D946CC">
          <w:pPr>
            <w:pStyle w:val="Header"/>
            <w:rPr>
              <w:sz w:val="16"/>
            </w:rPr>
          </w:pPr>
          <w:r w:rsidRPr="00EB075B">
            <w:rPr>
              <w:rFonts w:cs="Arial"/>
              <w:sz w:val="16"/>
            </w:rPr>
            <w:t>Section</w:t>
          </w:r>
        </w:p>
      </w:tc>
      <w:tc>
        <w:tcPr>
          <w:tcW w:w="5760" w:type="dxa"/>
          <w:tcBorders>
            <w:top w:val="single" w:sz="8" w:space="0" w:color="auto"/>
            <w:bottom w:val="single" w:sz="4" w:space="0" w:color="auto"/>
            <w:right w:val="single" w:sz="4" w:space="0" w:color="auto"/>
          </w:tcBorders>
          <w:vAlign w:val="center"/>
        </w:tcPr>
        <w:p w14:paraId="51CB99D7" w14:textId="77777777" w:rsidR="00194BEC" w:rsidRPr="00AF0EE0" w:rsidRDefault="00194BEC" w:rsidP="00D946CC">
          <w:pPr>
            <w:pStyle w:val="Header"/>
          </w:pPr>
          <w:r w:rsidRPr="00AF0EE0">
            <w:rPr>
              <w:sz w:val="20"/>
            </w:rPr>
            <w:t>Your Department Name</w:t>
          </w:r>
        </w:p>
      </w:tc>
      <w:tc>
        <w:tcPr>
          <w:tcW w:w="1440" w:type="dxa"/>
          <w:tcBorders>
            <w:top w:val="single" w:sz="8" w:space="0" w:color="auto"/>
            <w:left w:val="single" w:sz="4" w:space="0" w:color="auto"/>
          </w:tcBorders>
          <w:vAlign w:val="center"/>
        </w:tcPr>
        <w:p w14:paraId="0AD9A3F3" w14:textId="77777777" w:rsidR="00194BEC" w:rsidRPr="00EB075B" w:rsidRDefault="00194BEC" w:rsidP="00D946CC">
          <w:pPr>
            <w:pStyle w:val="Header"/>
            <w:rPr>
              <w:sz w:val="16"/>
            </w:rPr>
          </w:pPr>
          <w:r w:rsidRPr="00EB075B">
            <w:rPr>
              <w:rFonts w:cs="Arial"/>
              <w:sz w:val="16"/>
            </w:rPr>
            <w:t>Effective Date</w:t>
          </w:r>
        </w:p>
      </w:tc>
      <w:tc>
        <w:tcPr>
          <w:tcW w:w="2189" w:type="dxa"/>
          <w:tcBorders>
            <w:top w:val="single" w:sz="8" w:space="0" w:color="auto"/>
          </w:tcBorders>
          <w:vAlign w:val="center"/>
        </w:tcPr>
        <w:p w14:paraId="5A7368C2" w14:textId="1621FB21" w:rsidR="00194BEC" w:rsidRPr="00AF0EE0" w:rsidRDefault="00194BEC" w:rsidP="00D946CC">
          <w:pPr>
            <w:pStyle w:val="Header"/>
            <w:jc w:val="right"/>
            <w:rPr>
              <w:sz w:val="20"/>
            </w:rPr>
          </w:pPr>
          <w:r w:rsidRPr="00AF0EE0">
            <w:rPr>
              <w:sz w:val="20"/>
            </w:rPr>
            <w:fldChar w:fldCharType="begin"/>
          </w:r>
          <w:r w:rsidRPr="00AF0EE0">
            <w:rPr>
              <w:sz w:val="20"/>
            </w:rPr>
            <w:instrText xml:space="preserve"> DOCPROPERTY "Issue Date"  \* MERGEFORMAT </w:instrText>
          </w:r>
          <w:r w:rsidRPr="00AF0EE0">
            <w:rPr>
              <w:sz w:val="20"/>
            </w:rPr>
            <w:fldChar w:fldCharType="separate"/>
          </w:r>
          <w:r w:rsidR="00797FED">
            <w:rPr>
              <w:sz w:val="20"/>
            </w:rPr>
            <w:t>Month, Day, Year</w:t>
          </w:r>
          <w:r w:rsidRPr="00AF0EE0">
            <w:rPr>
              <w:sz w:val="20"/>
            </w:rPr>
            <w:fldChar w:fldCharType="end"/>
          </w:r>
        </w:p>
      </w:tc>
    </w:tr>
    <w:tr w:rsidR="00194BEC" w:rsidRPr="00AF0EE0" w14:paraId="68DC8855" w14:textId="77777777" w:rsidTr="00D946CC">
      <w:trPr>
        <w:trHeight w:val="432"/>
      </w:trPr>
      <w:tc>
        <w:tcPr>
          <w:tcW w:w="763" w:type="dxa"/>
          <w:tcBorders>
            <w:top w:val="single" w:sz="4" w:space="0" w:color="auto"/>
            <w:right w:val="nil"/>
          </w:tcBorders>
        </w:tcPr>
        <w:p w14:paraId="04640638" w14:textId="77777777" w:rsidR="00194BEC" w:rsidRPr="00EB075B" w:rsidRDefault="00194BEC" w:rsidP="00D946CC">
          <w:pPr>
            <w:pStyle w:val="Header"/>
            <w:spacing w:before="120"/>
            <w:rPr>
              <w:sz w:val="16"/>
            </w:rPr>
          </w:pPr>
          <w:r w:rsidRPr="00EB075B">
            <w:rPr>
              <w:rFonts w:cs="Arial"/>
              <w:sz w:val="16"/>
            </w:rPr>
            <w:t>Subject</w:t>
          </w:r>
        </w:p>
      </w:tc>
      <w:tc>
        <w:tcPr>
          <w:tcW w:w="5760" w:type="dxa"/>
          <w:tcBorders>
            <w:top w:val="single" w:sz="4" w:space="0" w:color="auto"/>
            <w:left w:val="nil"/>
            <w:right w:val="single" w:sz="4" w:space="0" w:color="auto"/>
          </w:tcBorders>
        </w:tcPr>
        <w:p w14:paraId="0C4F5183" w14:textId="77777777" w:rsidR="00194BEC" w:rsidRPr="00AF0EE0" w:rsidRDefault="00194BEC" w:rsidP="00D946CC">
          <w:pPr>
            <w:pStyle w:val="Header"/>
            <w:spacing w:before="120"/>
          </w:pPr>
          <w:r w:rsidRPr="00AF0EE0">
            <w:rPr>
              <w:sz w:val="20"/>
            </w:rPr>
            <w:t>Policy Topic</w:t>
          </w:r>
        </w:p>
      </w:tc>
      <w:tc>
        <w:tcPr>
          <w:tcW w:w="1440" w:type="dxa"/>
          <w:tcBorders>
            <w:top w:val="single" w:sz="4" w:space="0" w:color="auto"/>
            <w:left w:val="single" w:sz="4" w:space="0" w:color="auto"/>
          </w:tcBorders>
          <w:vAlign w:val="center"/>
        </w:tcPr>
        <w:p w14:paraId="59F6C6C9" w14:textId="77777777" w:rsidR="00194BEC" w:rsidRPr="00EB075B" w:rsidRDefault="00194BEC" w:rsidP="00D946CC">
          <w:pPr>
            <w:pStyle w:val="Header"/>
            <w:rPr>
              <w:sz w:val="16"/>
            </w:rPr>
          </w:pPr>
          <w:r w:rsidRPr="00EB075B">
            <w:rPr>
              <w:rFonts w:cs="Arial"/>
              <w:sz w:val="16"/>
            </w:rPr>
            <w:t>Last Review Date</w:t>
          </w:r>
        </w:p>
      </w:tc>
      <w:tc>
        <w:tcPr>
          <w:tcW w:w="2189" w:type="dxa"/>
          <w:vAlign w:val="center"/>
        </w:tcPr>
        <w:p w14:paraId="6B34EFB3" w14:textId="4ECE3F31" w:rsidR="00194BEC" w:rsidRPr="00AF0EE0" w:rsidRDefault="00194BEC" w:rsidP="00D946CC">
          <w:pPr>
            <w:pStyle w:val="Header"/>
            <w:jc w:val="right"/>
            <w:rPr>
              <w:sz w:val="20"/>
            </w:rPr>
          </w:pPr>
          <w:r w:rsidRPr="00AF0EE0">
            <w:rPr>
              <w:sz w:val="20"/>
            </w:rPr>
            <w:fldChar w:fldCharType="begin"/>
          </w:r>
          <w:r w:rsidRPr="00AF0EE0">
            <w:rPr>
              <w:sz w:val="20"/>
            </w:rPr>
            <w:instrText xml:space="preserve"> DOCPROPERTY "Issue Date"  \* MERGEFORMAT </w:instrText>
          </w:r>
          <w:r w:rsidRPr="00AF0EE0">
            <w:rPr>
              <w:sz w:val="20"/>
            </w:rPr>
            <w:fldChar w:fldCharType="separate"/>
          </w:r>
          <w:r w:rsidR="00797FED">
            <w:rPr>
              <w:sz w:val="20"/>
            </w:rPr>
            <w:t>Month, Day, Year</w:t>
          </w:r>
          <w:r w:rsidRPr="00AF0EE0">
            <w:rPr>
              <w:sz w:val="20"/>
            </w:rPr>
            <w:fldChar w:fldCharType="end"/>
          </w:r>
        </w:p>
      </w:tc>
    </w:tr>
  </w:tbl>
  <w:p w14:paraId="6F670AB4" w14:textId="77777777" w:rsidR="00194BEC" w:rsidRDefault="00194BEC" w:rsidP="00194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29" w:type="dxa"/>
      </w:tblCellMar>
      <w:tblLook w:val="0000" w:firstRow="0" w:lastRow="0" w:firstColumn="0" w:lastColumn="0" w:noHBand="0" w:noVBand="0"/>
    </w:tblPr>
    <w:tblGrid>
      <w:gridCol w:w="763"/>
      <w:gridCol w:w="6617"/>
      <w:gridCol w:w="1213"/>
      <w:gridCol w:w="1487"/>
    </w:tblGrid>
    <w:tr w:rsidR="00811A29" w14:paraId="2BA92FAB" w14:textId="77777777" w:rsidTr="0077248E">
      <w:trPr>
        <w:trHeight w:hRule="exact" w:val="541"/>
      </w:trPr>
      <w:tc>
        <w:tcPr>
          <w:tcW w:w="763" w:type="dxa"/>
          <w:tcBorders>
            <w:top w:val="nil"/>
            <w:left w:val="nil"/>
            <w:bottom w:val="nil"/>
            <w:right w:val="nil"/>
          </w:tcBorders>
          <w:vAlign w:val="center"/>
        </w:tcPr>
        <w:p w14:paraId="670A91FF" w14:textId="77777777" w:rsidR="00811A29" w:rsidRPr="006F4FBF" w:rsidRDefault="00811A29" w:rsidP="00D946CC">
          <w:pPr>
            <w:pStyle w:val="HeaderPolicyno"/>
            <w:ind w:left="72"/>
            <w:jc w:val="left"/>
            <w:rPr>
              <w:caps/>
            </w:rPr>
          </w:pPr>
          <w:r w:rsidRPr="00EB075B">
            <w:rPr>
              <w:rFonts w:cs="Arial"/>
              <w:sz w:val="16"/>
            </w:rPr>
            <w:t>Section</w:t>
          </w:r>
        </w:p>
      </w:tc>
      <w:tc>
        <w:tcPr>
          <w:tcW w:w="6617" w:type="dxa"/>
          <w:tcBorders>
            <w:top w:val="nil"/>
            <w:left w:val="nil"/>
            <w:bottom w:val="nil"/>
            <w:right w:val="nil"/>
          </w:tcBorders>
          <w:vAlign w:val="center"/>
        </w:tcPr>
        <w:p w14:paraId="1B8FD561" w14:textId="05E2C3DC" w:rsidR="00811A29" w:rsidRPr="006F4FBF" w:rsidRDefault="00D347EA" w:rsidP="00D946CC">
          <w:pPr>
            <w:pStyle w:val="HeaderPolicyno"/>
            <w:ind w:left="72"/>
            <w:jc w:val="left"/>
            <w:rPr>
              <w:caps/>
            </w:rPr>
          </w:pPr>
          <w:r>
            <w:rPr>
              <w:sz w:val="20"/>
            </w:rPr>
            <w:t>Accessibility</w:t>
          </w:r>
        </w:p>
      </w:tc>
      <w:tc>
        <w:tcPr>
          <w:tcW w:w="1213" w:type="dxa"/>
          <w:tcBorders>
            <w:top w:val="nil"/>
            <w:left w:val="nil"/>
            <w:bottom w:val="nil"/>
            <w:right w:val="nil"/>
          </w:tcBorders>
          <w:vAlign w:val="center"/>
        </w:tcPr>
        <w:p w14:paraId="77F9B9BC" w14:textId="77777777" w:rsidR="00811A29" w:rsidRPr="006F4FBF" w:rsidRDefault="00811A29" w:rsidP="00D946CC">
          <w:pPr>
            <w:pStyle w:val="HeaderTitleOdd"/>
            <w:jc w:val="right"/>
            <w:rPr>
              <w:b w:val="0"/>
              <w:caps w:val="0"/>
            </w:rPr>
          </w:pPr>
          <w:r w:rsidRPr="006F4FBF">
            <w:rPr>
              <w:b w:val="0"/>
              <w:caps w:val="0"/>
              <w:sz w:val="20"/>
            </w:rPr>
            <w:t xml:space="preserve">Policy No. </w:t>
          </w:r>
        </w:p>
      </w:tc>
      <w:tc>
        <w:tcPr>
          <w:tcW w:w="1487" w:type="dxa"/>
          <w:tcBorders>
            <w:top w:val="nil"/>
            <w:left w:val="nil"/>
            <w:bottom w:val="nil"/>
            <w:right w:val="nil"/>
          </w:tcBorders>
          <w:vAlign w:val="center"/>
        </w:tcPr>
        <w:p w14:paraId="425756C9" w14:textId="194E229F" w:rsidR="00811A29" w:rsidRPr="006F4FBF" w:rsidRDefault="005E7C81" w:rsidP="00D946CC">
          <w:pPr>
            <w:pStyle w:val="HeaderPolicyno"/>
            <w:rPr>
              <w:b/>
            </w:rPr>
          </w:pPr>
          <w:r>
            <w:rPr>
              <w:b/>
            </w:rPr>
            <w:t>CO</w:t>
          </w:r>
          <w:r w:rsidR="0077248E">
            <w:rPr>
              <w:b/>
            </w:rPr>
            <w:t>-0</w:t>
          </w:r>
          <w:r>
            <w:rPr>
              <w:b/>
            </w:rPr>
            <w:t>2</w:t>
          </w:r>
          <w:r w:rsidR="0077248E">
            <w:rPr>
              <w:b/>
            </w:rPr>
            <w:t>0</w:t>
          </w:r>
          <w:r>
            <w:rPr>
              <w:b/>
            </w:rPr>
            <w:t>2</w:t>
          </w:r>
          <w:r w:rsidR="0077248E">
            <w:rPr>
              <w:b/>
            </w:rPr>
            <w:t>-0</w:t>
          </w:r>
          <w:r>
            <w:rPr>
              <w:b/>
            </w:rPr>
            <w:t>1</w:t>
          </w:r>
        </w:p>
      </w:tc>
    </w:tr>
    <w:tr w:rsidR="00811A29" w14:paraId="0C7C37A9" w14:textId="77777777" w:rsidTr="0077248E">
      <w:trPr>
        <w:trHeight w:val="432"/>
      </w:trPr>
      <w:tc>
        <w:tcPr>
          <w:tcW w:w="763" w:type="dxa"/>
          <w:tcBorders>
            <w:top w:val="nil"/>
            <w:left w:val="nil"/>
            <w:bottom w:val="single" w:sz="4" w:space="0" w:color="auto"/>
            <w:right w:val="nil"/>
          </w:tcBorders>
          <w:vAlign w:val="center"/>
        </w:tcPr>
        <w:p w14:paraId="14967403" w14:textId="77777777" w:rsidR="00811A29" w:rsidRPr="00EB075B" w:rsidRDefault="00811A29" w:rsidP="00D946CC">
          <w:pPr>
            <w:pStyle w:val="HeaderPolicyno"/>
            <w:ind w:left="72"/>
            <w:jc w:val="left"/>
            <w:rPr>
              <w:b/>
            </w:rPr>
          </w:pPr>
          <w:r w:rsidRPr="00EB075B">
            <w:rPr>
              <w:rFonts w:cs="Arial"/>
              <w:sz w:val="16"/>
            </w:rPr>
            <w:t>Subject</w:t>
          </w:r>
        </w:p>
      </w:tc>
      <w:tc>
        <w:tcPr>
          <w:tcW w:w="6617" w:type="dxa"/>
          <w:tcBorders>
            <w:top w:val="nil"/>
            <w:left w:val="nil"/>
            <w:bottom w:val="single" w:sz="4" w:space="0" w:color="auto"/>
            <w:right w:val="nil"/>
          </w:tcBorders>
          <w:vAlign w:val="center"/>
        </w:tcPr>
        <w:p w14:paraId="6AED561A" w14:textId="7231E803" w:rsidR="00811A29" w:rsidRPr="00EB075B" w:rsidRDefault="00F24220" w:rsidP="00D946CC">
          <w:pPr>
            <w:pStyle w:val="HeaderPolicyno"/>
            <w:ind w:left="72"/>
            <w:jc w:val="left"/>
            <w:rPr>
              <w:b/>
            </w:rPr>
          </w:pPr>
          <w:r>
            <w:rPr>
              <w:sz w:val="20"/>
            </w:rPr>
            <w:t>Service Animal</w:t>
          </w:r>
          <w:r w:rsidR="005E7C81">
            <w:rPr>
              <w:sz w:val="20"/>
            </w:rPr>
            <w:t xml:space="preserve"> Policy</w:t>
          </w:r>
        </w:p>
      </w:tc>
      <w:tc>
        <w:tcPr>
          <w:tcW w:w="1213" w:type="dxa"/>
          <w:tcBorders>
            <w:top w:val="nil"/>
            <w:left w:val="nil"/>
            <w:bottom w:val="single" w:sz="4" w:space="0" w:color="auto"/>
            <w:right w:val="nil"/>
          </w:tcBorders>
          <w:vAlign w:val="center"/>
        </w:tcPr>
        <w:p w14:paraId="2E0D1A6F" w14:textId="77777777" w:rsidR="00811A29" w:rsidRPr="00EB075B" w:rsidRDefault="00811A29" w:rsidP="00D946CC">
          <w:pPr>
            <w:pStyle w:val="HeaderPolicyno"/>
            <w:jc w:val="left"/>
            <w:rPr>
              <w:b/>
            </w:rPr>
          </w:pPr>
        </w:p>
      </w:tc>
      <w:tc>
        <w:tcPr>
          <w:tcW w:w="1487" w:type="dxa"/>
          <w:tcBorders>
            <w:top w:val="nil"/>
            <w:left w:val="nil"/>
            <w:bottom w:val="single" w:sz="4" w:space="0" w:color="auto"/>
            <w:right w:val="nil"/>
          </w:tcBorders>
          <w:vAlign w:val="center"/>
        </w:tcPr>
        <w:p w14:paraId="47BBD8E2" w14:textId="77777777" w:rsidR="00811A29" w:rsidRDefault="00811A29" w:rsidP="00D946CC">
          <w:pPr>
            <w:pStyle w:val="HeaderLabel"/>
            <w:jc w:val="right"/>
          </w:pPr>
          <w:r>
            <w:t xml:space="preserve">Page  </w:t>
          </w:r>
          <w:r w:rsidRPr="007A5126">
            <w:rPr>
              <w:sz w:val="20"/>
            </w:rPr>
            <w:fldChar w:fldCharType="begin"/>
          </w:r>
          <w:r w:rsidRPr="007A5126">
            <w:rPr>
              <w:sz w:val="20"/>
            </w:rPr>
            <w:instrText xml:space="preserve"> PAGE </w:instrText>
          </w:r>
          <w:r w:rsidRPr="007A5126">
            <w:rPr>
              <w:sz w:val="20"/>
            </w:rPr>
            <w:fldChar w:fldCharType="separate"/>
          </w:r>
          <w:r w:rsidR="00914EAB">
            <w:rPr>
              <w:noProof/>
              <w:sz w:val="20"/>
            </w:rPr>
            <w:t>2</w:t>
          </w:r>
          <w:r w:rsidRPr="007A5126">
            <w:rPr>
              <w:sz w:val="20"/>
            </w:rPr>
            <w:fldChar w:fldCharType="end"/>
          </w:r>
          <w:r w:rsidRPr="007A5126">
            <w:rPr>
              <w:sz w:val="20"/>
            </w:rPr>
            <w:t xml:space="preserve"> of </w:t>
          </w:r>
          <w:r w:rsidRPr="007A5126">
            <w:rPr>
              <w:sz w:val="20"/>
            </w:rPr>
            <w:fldChar w:fldCharType="begin"/>
          </w:r>
          <w:r w:rsidRPr="007A5126">
            <w:rPr>
              <w:sz w:val="20"/>
            </w:rPr>
            <w:instrText xml:space="preserve"> NUMPAGES </w:instrText>
          </w:r>
          <w:r w:rsidRPr="007A5126">
            <w:rPr>
              <w:sz w:val="20"/>
            </w:rPr>
            <w:fldChar w:fldCharType="separate"/>
          </w:r>
          <w:r w:rsidR="00914EAB">
            <w:rPr>
              <w:noProof/>
              <w:sz w:val="20"/>
            </w:rPr>
            <w:t>3</w:t>
          </w:r>
          <w:r w:rsidRPr="007A5126">
            <w:rPr>
              <w:noProof/>
              <w:sz w:val="20"/>
            </w:rPr>
            <w:fldChar w:fldCharType="end"/>
          </w:r>
        </w:p>
      </w:tc>
    </w:tr>
  </w:tbl>
  <w:p w14:paraId="147014E8" w14:textId="77777777" w:rsidR="00811A29" w:rsidRDefault="00811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7711"/>
    <w:multiLevelType w:val="multilevel"/>
    <w:tmpl w:val="57245F4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F5151AA"/>
    <w:multiLevelType w:val="hybridMultilevel"/>
    <w:tmpl w:val="3482CEE6"/>
    <w:lvl w:ilvl="0" w:tplc="C4CC6D66">
      <w:start w:val="1"/>
      <w:numFmt w:val="decimal"/>
      <w:lvlText w:val="%1."/>
      <w:lvlJc w:val="left"/>
      <w:pPr>
        <w:ind w:left="720" w:hanging="360"/>
      </w:pPr>
      <w:rPr>
        <w:b/>
        <w:bCs w:val="0"/>
      </w:rPr>
    </w:lvl>
    <w:lvl w:ilvl="1" w:tplc="3768E3F8">
      <w:start w:val="1"/>
      <w:numFmt w:val="lowerLetter"/>
      <w:lvlText w:val="%2."/>
      <w:lvlJc w:val="left"/>
      <w:pPr>
        <w:ind w:left="1440" w:hanging="360"/>
      </w:pPr>
    </w:lvl>
    <w:lvl w:ilvl="2" w:tplc="65DE8D64">
      <w:start w:val="1"/>
      <w:numFmt w:val="lowerRoman"/>
      <w:lvlText w:val="%3."/>
      <w:lvlJc w:val="right"/>
      <w:pPr>
        <w:ind w:left="2160" w:hanging="180"/>
      </w:pPr>
    </w:lvl>
    <w:lvl w:ilvl="3" w:tplc="9E6E894C">
      <w:start w:val="1"/>
      <w:numFmt w:val="decimal"/>
      <w:lvlText w:val="%4."/>
      <w:lvlJc w:val="left"/>
      <w:pPr>
        <w:ind w:left="2880" w:hanging="360"/>
      </w:pPr>
    </w:lvl>
    <w:lvl w:ilvl="4" w:tplc="A33A575A">
      <w:start w:val="1"/>
      <w:numFmt w:val="lowerLetter"/>
      <w:lvlText w:val="%5."/>
      <w:lvlJc w:val="left"/>
      <w:pPr>
        <w:ind w:left="3600" w:hanging="360"/>
      </w:pPr>
    </w:lvl>
    <w:lvl w:ilvl="5" w:tplc="AB9617F4">
      <w:start w:val="1"/>
      <w:numFmt w:val="lowerRoman"/>
      <w:lvlText w:val="%6."/>
      <w:lvlJc w:val="right"/>
      <w:pPr>
        <w:ind w:left="4320" w:hanging="180"/>
      </w:pPr>
    </w:lvl>
    <w:lvl w:ilvl="6" w:tplc="713CACC0">
      <w:start w:val="1"/>
      <w:numFmt w:val="decimal"/>
      <w:lvlText w:val="%7."/>
      <w:lvlJc w:val="left"/>
      <w:pPr>
        <w:ind w:left="5040" w:hanging="360"/>
      </w:pPr>
    </w:lvl>
    <w:lvl w:ilvl="7" w:tplc="EF7855C0">
      <w:start w:val="1"/>
      <w:numFmt w:val="lowerLetter"/>
      <w:lvlText w:val="%8."/>
      <w:lvlJc w:val="left"/>
      <w:pPr>
        <w:ind w:left="5760" w:hanging="360"/>
      </w:pPr>
    </w:lvl>
    <w:lvl w:ilvl="8" w:tplc="38EC1924">
      <w:start w:val="1"/>
      <w:numFmt w:val="lowerRoman"/>
      <w:lvlText w:val="%9."/>
      <w:lvlJc w:val="right"/>
      <w:pPr>
        <w:ind w:left="6480" w:hanging="180"/>
      </w:pPr>
    </w:lvl>
  </w:abstractNum>
  <w:abstractNum w:abstractNumId="2" w15:restartNumberingAfterBreak="0">
    <w:nsid w:val="1469323D"/>
    <w:multiLevelType w:val="multilevel"/>
    <w:tmpl w:val="9440DDDA"/>
    <w:name w:val="GO Manual"/>
    <w:lvl w:ilvl="0">
      <w:start w:val="1"/>
      <w:numFmt w:val="decimal"/>
      <w:lvlRestart w:val="0"/>
      <w:pStyle w:val="ManualNumL1"/>
      <w:lvlText w:val="%1."/>
      <w:lvlJc w:val="left"/>
      <w:pPr>
        <w:tabs>
          <w:tab w:val="num" w:pos="720"/>
        </w:tabs>
        <w:ind w:left="720" w:hanging="720"/>
      </w:pPr>
      <w:rPr>
        <w:rFonts w:hint="default"/>
      </w:rPr>
    </w:lvl>
    <w:lvl w:ilvl="1">
      <w:start w:val="1"/>
      <w:numFmt w:val="lowerLetter"/>
      <w:pStyle w:val="ManualNumL2"/>
      <w:lvlText w:val="(%2)"/>
      <w:lvlJc w:val="left"/>
      <w:pPr>
        <w:tabs>
          <w:tab w:val="num" w:pos="1440"/>
        </w:tabs>
        <w:ind w:left="1440" w:hanging="720"/>
      </w:pPr>
      <w:rPr>
        <w:rFonts w:hint="default"/>
      </w:rPr>
    </w:lvl>
    <w:lvl w:ilvl="2">
      <w:start w:val="1"/>
      <w:numFmt w:val="lowerRoman"/>
      <w:pStyle w:val="ManualNumL3"/>
      <w:lvlText w:val="(%3)"/>
      <w:lvlJc w:val="left"/>
      <w:pPr>
        <w:tabs>
          <w:tab w:val="num" w:pos="2160"/>
        </w:tabs>
        <w:ind w:left="2160" w:hanging="720"/>
      </w:pPr>
      <w:rPr>
        <w:rFonts w:hint="default"/>
      </w:rPr>
    </w:lvl>
    <w:lvl w:ilvl="3">
      <w:start w:val="1"/>
      <w:numFmt w:val="upperLetter"/>
      <w:pStyle w:val="ManualNumL4"/>
      <w:lvlText w:val="%4."/>
      <w:lvlJc w:val="left"/>
      <w:pPr>
        <w:tabs>
          <w:tab w:val="num" w:pos="2880"/>
        </w:tabs>
        <w:ind w:left="2880" w:hanging="720"/>
      </w:pPr>
      <w:rPr>
        <w:rFonts w:hint="default"/>
      </w:rPr>
    </w:lvl>
    <w:lvl w:ilvl="4">
      <w:start w:val="1"/>
      <w:numFmt w:val="upperRoman"/>
      <w:pStyle w:val="ManualNumL5"/>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165A3274"/>
    <w:multiLevelType w:val="hybridMultilevel"/>
    <w:tmpl w:val="518CDA80"/>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2529A9"/>
    <w:multiLevelType w:val="singleLevel"/>
    <w:tmpl w:val="E5546E5E"/>
    <w:name w:val="BulletsIndent"/>
    <w:lvl w:ilvl="0">
      <w:start w:val="1"/>
      <w:numFmt w:val="bullet"/>
      <w:pStyle w:val="BulletsIndent"/>
      <w:lvlText w:val=""/>
      <w:lvlJc w:val="left"/>
      <w:pPr>
        <w:tabs>
          <w:tab w:val="num" w:pos="720"/>
        </w:tabs>
        <w:ind w:left="720" w:hanging="360"/>
      </w:pPr>
      <w:rPr>
        <w:rFonts w:ascii="Symbol" w:hAnsi="Symbol" w:hint="default"/>
      </w:rPr>
    </w:lvl>
  </w:abstractNum>
  <w:abstractNum w:abstractNumId="5" w15:restartNumberingAfterBreak="0">
    <w:nsid w:val="18CA30E3"/>
    <w:multiLevelType w:val="singleLevel"/>
    <w:tmpl w:val="A2981AF0"/>
    <w:name w:val="BulletsIndentSquare"/>
    <w:lvl w:ilvl="0">
      <w:start w:val="1"/>
      <w:numFmt w:val="bullet"/>
      <w:pStyle w:val="BulletsIndentSquare"/>
      <w:lvlText w:val=""/>
      <w:lvlJc w:val="left"/>
      <w:pPr>
        <w:tabs>
          <w:tab w:val="num" w:pos="720"/>
        </w:tabs>
        <w:ind w:left="720" w:hanging="360"/>
      </w:pPr>
      <w:rPr>
        <w:rFonts w:ascii="Wingdings" w:hAnsi="Wingdings" w:hint="default"/>
      </w:rPr>
    </w:lvl>
  </w:abstractNum>
  <w:abstractNum w:abstractNumId="6" w15:restartNumberingAfterBreak="0">
    <w:nsid w:val="1B135BA0"/>
    <w:multiLevelType w:val="hybridMultilevel"/>
    <w:tmpl w:val="DF0C4952"/>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411927"/>
    <w:multiLevelType w:val="hybridMultilevel"/>
    <w:tmpl w:val="CF382BA0"/>
    <w:lvl w:ilvl="0" w:tplc="04F0C03C">
      <w:start w:val="1"/>
      <w:numFmt w:val="bullet"/>
      <w:lvlText w:val="o"/>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054539"/>
    <w:multiLevelType w:val="hybridMultilevel"/>
    <w:tmpl w:val="CF546D86"/>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9" w15:restartNumberingAfterBreak="0">
    <w:nsid w:val="38997DC7"/>
    <w:multiLevelType w:val="hybridMultilevel"/>
    <w:tmpl w:val="6E6ED432"/>
    <w:lvl w:ilvl="0" w:tplc="FFFFFFFF">
      <w:start w:val="1"/>
      <w:numFmt w:val="bullet"/>
      <w:lvlText w:val="·"/>
      <w:lvlJc w:val="left"/>
      <w:pPr>
        <w:ind w:left="720" w:hanging="360"/>
      </w:pPr>
      <w:rPr>
        <w:rFonts w:ascii="Symbol" w:hAnsi="Symbol" w:hint="default"/>
      </w:rPr>
    </w:lvl>
    <w:lvl w:ilvl="1" w:tplc="96A4970C">
      <w:start w:val="1"/>
      <w:numFmt w:val="bullet"/>
      <w:lvlText w:val="o"/>
      <w:lvlJc w:val="left"/>
      <w:pPr>
        <w:ind w:left="1440" w:hanging="360"/>
      </w:pPr>
      <w:rPr>
        <w:rFonts w:ascii="Courier New" w:hAnsi="Courier New" w:hint="default"/>
      </w:rPr>
    </w:lvl>
    <w:lvl w:ilvl="2" w:tplc="10F26C04" w:tentative="1">
      <w:start w:val="1"/>
      <w:numFmt w:val="bullet"/>
      <w:lvlText w:val=""/>
      <w:lvlJc w:val="left"/>
      <w:pPr>
        <w:ind w:left="2160" w:hanging="360"/>
      </w:pPr>
      <w:rPr>
        <w:rFonts w:ascii="Wingdings" w:hAnsi="Wingdings" w:hint="default"/>
      </w:rPr>
    </w:lvl>
    <w:lvl w:ilvl="3" w:tplc="5B40FC10" w:tentative="1">
      <w:start w:val="1"/>
      <w:numFmt w:val="bullet"/>
      <w:lvlText w:val=""/>
      <w:lvlJc w:val="left"/>
      <w:pPr>
        <w:ind w:left="2880" w:hanging="360"/>
      </w:pPr>
      <w:rPr>
        <w:rFonts w:ascii="Symbol" w:hAnsi="Symbol" w:hint="default"/>
      </w:rPr>
    </w:lvl>
    <w:lvl w:ilvl="4" w:tplc="896EE888" w:tentative="1">
      <w:start w:val="1"/>
      <w:numFmt w:val="bullet"/>
      <w:lvlText w:val="o"/>
      <w:lvlJc w:val="left"/>
      <w:pPr>
        <w:ind w:left="3600" w:hanging="360"/>
      </w:pPr>
      <w:rPr>
        <w:rFonts w:ascii="Courier New" w:hAnsi="Courier New" w:hint="default"/>
      </w:rPr>
    </w:lvl>
    <w:lvl w:ilvl="5" w:tplc="3A925F7A" w:tentative="1">
      <w:start w:val="1"/>
      <w:numFmt w:val="bullet"/>
      <w:lvlText w:val=""/>
      <w:lvlJc w:val="left"/>
      <w:pPr>
        <w:ind w:left="4320" w:hanging="360"/>
      </w:pPr>
      <w:rPr>
        <w:rFonts w:ascii="Wingdings" w:hAnsi="Wingdings" w:hint="default"/>
      </w:rPr>
    </w:lvl>
    <w:lvl w:ilvl="6" w:tplc="664611D4" w:tentative="1">
      <w:start w:val="1"/>
      <w:numFmt w:val="bullet"/>
      <w:lvlText w:val=""/>
      <w:lvlJc w:val="left"/>
      <w:pPr>
        <w:ind w:left="5040" w:hanging="360"/>
      </w:pPr>
      <w:rPr>
        <w:rFonts w:ascii="Symbol" w:hAnsi="Symbol" w:hint="default"/>
      </w:rPr>
    </w:lvl>
    <w:lvl w:ilvl="7" w:tplc="52EC8D66" w:tentative="1">
      <w:start w:val="1"/>
      <w:numFmt w:val="bullet"/>
      <w:lvlText w:val="o"/>
      <w:lvlJc w:val="left"/>
      <w:pPr>
        <w:ind w:left="5760" w:hanging="360"/>
      </w:pPr>
      <w:rPr>
        <w:rFonts w:ascii="Courier New" w:hAnsi="Courier New" w:hint="default"/>
      </w:rPr>
    </w:lvl>
    <w:lvl w:ilvl="8" w:tplc="136A0EFC" w:tentative="1">
      <w:start w:val="1"/>
      <w:numFmt w:val="bullet"/>
      <w:lvlText w:val=""/>
      <w:lvlJc w:val="left"/>
      <w:pPr>
        <w:ind w:left="6480" w:hanging="360"/>
      </w:pPr>
      <w:rPr>
        <w:rFonts w:ascii="Wingdings" w:hAnsi="Wingdings" w:hint="default"/>
      </w:rPr>
    </w:lvl>
  </w:abstractNum>
  <w:abstractNum w:abstractNumId="10" w15:restartNumberingAfterBreak="0">
    <w:nsid w:val="3B8348F2"/>
    <w:multiLevelType w:val="hybridMultilevel"/>
    <w:tmpl w:val="FC362D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1FA5254"/>
    <w:multiLevelType w:val="hybridMultilevel"/>
    <w:tmpl w:val="6EF4FFB4"/>
    <w:lvl w:ilvl="0" w:tplc="BF70B662">
      <w:start w:val="1"/>
      <w:numFmt w:val="bullet"/>
      <w:pStyle w:val="ListBullet2"/>
      <w:lvlText w:val="–"/>
      <w:lvlJc w:val="left"/>
      <w:pPr>
        <w:ind w:left="1080" w:hanging="360"/>
      </w:pPr>
      <w:rPr>
        <w:rFonts w:ascii="AvenirNext LT Pro Regular" w:hAnsi="AvenirNext LT Pro 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49EA56DD"/>
    <w:multiLevelType w:val="hybridMultilevel"/>
    <w:tmpl w:val="BF78EB6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E487468"/>
    <w:multiLevelType w:val="singleLevel"/>
    <w:tmpl w:val="3710D8D0"/>
    <w:name w:val="BulletsParagraph"/>
    <w:lvl w:ilvl="0">
      <w:start w:val="1"/>
      <w:numFmt w:val="bullet"/>
      <w:pStyle w:val="BulletsParagraph"/>
      <w:lvlText w:val=""/>
      <w:lvlJc w:val="left"/>
      <w:pPr>
        <w:tabs>
          <w:tab w:val="num" w:pos="360"/>
        </w:tabs>
        <w:ind w:left="360" w:hanging="360"/>
      </w:pPr>
      <w:rPr>
        <w:rFonts w:ascii="Symbol" w:hAnsi="Symbol" w:hint="default"/>
      </w:rPr>
    </w:lvl>
  </w:abstractNum>
  <w:abstractNum w:abstractNumId="14" w15:restartNumberingAfterBreak="0">
    <w:nsid w:val="58766F32"/>
    <w:multiLevelType w:val="hybridMultilevel"/>
    <w:tmpl w:val="3B267416"/>
    <w:lvl w:ilvl="0" w:tplc="B6B006FC">
      <w:start w:val="1"/>
      <w:numFmt w:val="bullet"/>
      <w:lvlText w:val=""/>
      <w:lvlJc w:val="left"/>
      <w:pPr>
        <w:ind w:left="720" w:hanging="360"/>
      </w:pPr>
      <w:rPr>
        <w:rFonts w:ascii="Symbol" w:hAnsi="Symbol" w:hint="default"/>
      </w:rPr>
    </w:lvl>
    <w:lvl w:ilvl="1" w:tplc="2E200A2E" w:tentative="1">
      <w:start w:val="1"/>
      <w:numFmt w:val="bullet"/>
      <w:lvlText w:val="o"/>
      <w:lvlJc w:val="left"/>
      <w:pPr>
        <w:ind w:left="1440" w:hanging="360"/>
      </w:pPr>
      <w:rPr>
        <w:rFonts w:ascii="Courier New" w:hAnsi="Courier New" w:hint="default"/>
      </w:rPr>
    </w:lvl>
    <w:lvl w:ilvl="2" w:tplc="0C0CA57C" w:tentative="1">
      <w:start w:val="1"/>
      <w:numFmt w:val="bullet"/>
      <w:lvlText w:val=""/>
      <w:lvlJc w:val="left"/>
      <w:pPr>
        <w:ind w:left="2160" w:hanging="360"/>
      </w:pPr>
      <w:rPr>
        <w:rFonts w:ascii="Wingdings" w:hAnsi="Wingdings" w:hint="default"/>
      </w:rPr>
    </w:lvl>
    <w:lvl w:ilvl="3" w:tplc="FD040F42" w:tentative="1">
      <w:start w:val="1"/>
      <w:numFmt w:val="bullet"/>
      <w:lvlText w:val=""/>
      <w:lvlJc w:val="left"/>
      <w:pPr>
        <w:ind w:left="2880" w:hanging="360"/>
      </w:pPr>
      <w:rPr>
        <w:rFonts w:ascii="Symbol" w:hAnsi="Symbol" w:hint="default"/>
      </w:rPr>
    </w:lvl>
    <w:lvl w:ilvl="4" w:tplc="A7CCA64E" w:tentative="1">
      <w:start w:val="1"/>
      <w:numFmt w:val="bullet"/>
      <w:lvlText w:val="o"/>
      <w:lvlJc w:val="left"/>
      <w:pPr>
        <w:ind w:left="3600" w:hanging="360"/>
      </w:pPr>
      <w:rPr>
        <w:rFonts w:ascii="Courier New" w:hAnsi="Courier New" w:hint="default"/>
      </w:rPr>
    </w:lvl>
    <w:lvl w:ilvl="5" w:tplc="7288547C" w:tentative="1">
      <w:start w:val="1"/>
      <w:numFmt w:val="bullet"/>
      <w:lvlText w:val=""/>
      <w:lvlJc w:val="left"/>
      <w:pPr>
        <w:ind w:left="4320" w:hanging="360"/>
      </w:pPr>
      <w:rPr>
        <w:rFonts w:ascii="Wingdings" w:hAnsi="Wingdings" w:hint="default"/>
      </w:rPr>
    </w:lvl>
    <w:lvl w:ilvl="6" w:tplc="783AA6DE" w:tentative="1">
      <w:start w:val="1"/>
      <w:numFmt w:val="bullet"/>
      <w:lvlText w:val=""/>
      <w:lvlJc w:val="left"/>
      <w:pPr>
        <w:ind w:left="5040" w:hanging="360"/>
      </w:pPr>
      <w:rPr>
        <w:rFonts w:ascii="Symbol" w:hAnsi="Symbol" w:hint="default"/>
      </w:rPr>
    </w:lvl>
    <w:lvl w:ilvl="7" w:tplc="23C6A526" w:tentative="1">
      <w:start w:val="1"/>
      <w:numFmt w:val="bullet"/>
      <w:lvlText w:val="o"/>
      <w:lvlJc w:val="left"/>
      <w:pPr>
        <w:ind w:left="5760" w:hanging="360"/>
      </w:pPr>
      <w:rPr>
        <w:rFonts w:ascii="Courier New" w:hAnsi="Courier New" w:hint="default"/>
      </w:rPr>
    </w:lvl>
    <w:lvl w:ilvl="8" w:tplc="3A3EBB3E" w:tentative="1">
      <w:start w:val="1"/>
      <w:numFmt w:val="bullet"/>
      <w:lvlText w:val=""/>
      <w:lvlJc w:val="left"/>
      <w:pPr>
        <w:ind w:left="6480" w:hanging="360"/>
      </w:pPr>
      <w:rPr>
        <w:rFonts w:ascii="Wingdings" w:hAnsi="Wingdings" w:hint="default"/>
      </w:rPr>
    </w:lvl>
  </w:abstractNum>
  <w:abstractNum w:abstractNumId="15" w15:restartNumberingAfterBreak="0">
    <w:nsid w:val="5AB4F7EA"/>
    <w:multiLevelType w:val="hybridMultilevel"/>
    <w:tmpl w:val="FFFFFFFF"/>
    <w:lvl w:ilvl="0" w:tplc="3362AF00">
      <w:start w:val="1"/>
      <w:numFmt w:val="bullet"/>
      <w:lvlText w:val="·"/>
      <w:lvlJc w:val="left"/>
      <w:pPr>
        <w:ind w:left="720" w:hanging="360"/>
      </w:pPr>
      <w:rPr>
        <w:rFonts w:ascii="Symbol" w:hAnsi="Symbol" w:hint="default"/>
      </w:rPr>
    </w:lvl>
    <w:lvl w:ilvl="1" w:tplc="2572CEDE">
      <w:start w:val="1"/>
      <w:numFmt w:val="bullet"/>
      <w:lvlText w:val="o"/>
      <w:lvlJc w:val="left"/>
      <w:pPr>
        <w:ind w:left="1440" w:hanging="360"/>
      </w:pPr>
      <w:rPr>
        <w:rFonts w:ascii="Courier New" w:hAnsi="Courier New" w:hint="default"/>
      </w:rPr>
    </w:lvl>
    <w:lvl w:ilvl="2" w:tplc="A218DC36">
      <w:start w:val="1"/>
      <w:numFmt w:val="bullet"/>
      <w:lvlText w:val=""/>
      <w:lvlJc w:val="left"/>
      <w:pPr>
        <w:ind w:left="2160" w:hanging="360"/>
      </w:pPr>
      <w:rPr>
        <w:rFonts w:ascii="Wingdings" w:hAnsi="Wingdings" w:hint="default"/>
      </w:rPr>
    </w:lvl>
    <w:lvl w:ilvl="3" w:tplc="9B08F768">
      <w:start w:val="1"/>
      <w:numFmt w:val="bullet"/>
      <w:lvlText w:val=""/>
      <w:lvlJc w:val="left"/>
      <w:pPr>
        <w:ind w:left="2880" w:hanging="360"/>
      </w:pPr>
      <w:rPr>
        <w:rFonts w:ascii="Symbol" w:hAnsi="Symbol" w:hint="default"/>
      </w:rPr>
    </w:lvl>
    <w:lvl w:ilvl="4" w:tplc="121634B4">
      <w:start w:val="1"/>
      <w:numFmt w:val="bullet"/>
      <w:lvlText w:val="o"/>
      <w:lvlJc w:val="left"/>
      <w:pPr>
        <w:ind w:left="3600" w:hanging="360"/>
      </w:pPr>
      <w:rPr>
        <w:rFonts w:ascii="Courier New" w:hAnsi="Courier New" w:hint="default"/>
      </w:rPr>
    </w:lvl>
    <w:lvl w:ilvl="5" w:tplc="634CE4A0">
      <w:start w:val="1"/>
      <w:numFmt w:val="bullet"/>
      <w:lvlText w:val=""/>
      <w:lvlJc w:val="left"/>
      <w:pPr>
        <w:ind w:left="4320" w:hanging="360"/>
      </w:pPr>
      <w:rPr>
        <w:rFonts w:ascii="Wingdings" w:hAnsi="Wingdings" w:hint="default"/>
      </w:rPr>
    </w:lvl>
    <w:lvl w:ilvl="6" w:tplc="6890EDB4">
      <w:start w:val="1"/>
      <w:numFmt w:val="bullet"/>
      <w:lvlText w:val=""/>
      <w:lvlJc w:val="left"/>
      <w:pPr>
        <w:ind w:left="5040" w:hanging="360"/>
      </w:pPr>
      <w:rPr>
        <w:rFonts w:ascii="Symbol" w:hAnsi="Symbol" w:hint="default"/>
      </w:rPr>
    </w:lvl>
    <w:lvl w:ilvl="7" w:tplc="9364F362">
      <w:start w:val="1"/>
      <w:numFmt w:val="bullet"/>
      <w:lvlText w:val="o"/>
      <w:lvlJc w:val="left"/>
      <w:pPr>
        <w:ind w:left="5760" w:hanging="360"/>
      </w:pPr>
      <w:rPr>
        <w:rFonts w:ascii="Courier New" w:hAnsi="Courier New" w:hint="default"/>
      </w:rPr>
    </w:lvl>
    <w:lvl w:ilvl="8" w:tplc="A74697B8">
      <w:start w:val="1"/>
      <w:numFmt w:val="bullet"/>
      <w:lvlText w:val=""/>
      <w:lvlJc w:val="left"/>
      <w:pPr>
        <w:ind w:left="6480" w:hanging="360"/>
      </w:pPr>
      <w:rPr>
        <w:rFonts w:ascii="Wingdings" w:hAnsi="Wingdings" w:hint="default"/>
      </w:rPr>
    </w:lvl>
  </w:abstractNum>
  <w:abstractNum w:abstractNumId="16" w15:restartNumberingAfterBreak="0">
    <w:nsid w:val="61F002FB"/>
    <w:multiLevelType w:val="hybridMultilevel"/>
    <w:tmpl w:val="4CCE0FB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A8839F2"/>
    <w:multiLevelType w:val="singleLevel"/>
    <w:tmpl w:val="07940BA8"/>
    <w:name w:val="BulletB"/>
    <w:lvl w:ilvl="0">
      <w:start w:val="1"/>
      <w:numFmt w:val="bullet"/>
      <w:pStyle w:val="GOBulletlist2"/>
      <w:lvlText w:val=""/>
      <w:lvlJc w:val="left"/>
      <w:pPr>
        <w:tabs>
          <w:tab w:val="num" w:pos="720"/>
        </w:tabs>
        <w:ind w:left="720" w:hanging="360"/>
      </w:pPr>
      <w:rPr>
        <w:rFonts w:ascii="Wingdings" w:hAnsi="Wingdings" w:hint="default"/>
      </w:rPr>
    </w:lvl>
  </w:abstractNum>
  <w:abstractNum w:abstractNumId="18" w15:restartNumberingAfterBreak="0">
    <w:nsid w:val="6B9A53FE"/>
    <w:multiLevelType w:val="singleLevel"/>
    <w:tmpl w:val="CEA893DE"/>
    <w:name w:val="BulletsLine"/>
    <w:lvl w:ilvl="0">
      <w:start w:val="1"/>
      <w:numFmt w:val="bullet"/>
      <w:pStyle w:val="BulletsLine"/>
      <w:lvlText w:val=""/>
      <w:lvlJc w:val="left"/>
      <w:pPr>
        <w:tabs>
          <w:tab w:val="num" w:pos="360"/>
        </w:tabs>
        <w:ind w:left="360" w:hanging="360"/>
      </w:pPr>
      <w:rPr>
        <w:rFonts w:ascii="Symbol" w:hAnsi="Symbol" w:hint="default"/>
      </w:rPr>
    </w:lvl>
  </w:abstractNum>
  <w:abstractNum w:abstractNumId="19" w15:restartNumberingAfterBreak="0">
    <w:nsid w:val="6D260EB5"/>
    <w:multiLevelType w:val="hybridMultilevel"/>
    <w:tmpl w:val="BF407C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1C44508"/>
    <w:multiLevelType w:val="hybridMultilevel"/>
    <w:tmpl w:val="FD649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4CD2789"/>
    <w:multiLevelType w:val="singleLevel"/>
    <w:tmpl w:val="3A7273C6"/>
    <w:name w:val="BulletA"/>
    <w:lvl w:ilvl="0">
      <w:start w:val="1"/>
      <w:numFmt w:val="bullet"/>
      <w:pStyle w:val="GOBulletlist1"/>
      <w:lvlText w:val=""/>
      <w:lvlJc w:val="left"/>
      <w:pPr>
        <w:tabs>
          <w:tab w:val="num" w:pos="360"/>
        </w:tabs>
        <w:ind w:left="360" w:hanging="360"/>
      </w:pPr>
      <w:rPr>
        <w:rFonts w:ascii="Symbol" w:hAnsi="Symbol" w:hint="default"/>
        <w:b w:val="0"/>
        <w:i w:val="0"/>
        <w:sz w:val="24"/>
      </w:rPr>
    </w:lvl>
  </w:abstractNum>
  <w:abstractNum w:abstractNumId="22" w15:restartNumberingAfterBreak="0">
    <w:nsid w:val="7ABF83C0"/>
    <w:multiLevelType w:val="hybridMultilevel"/>
    <w:tmpl w:val="E5E88EB8"/>
    <w:lvl w:ilvl="0" w:tplc="FFFFFFFF">
      <w:start w:val="1"/>
      <w:numFmt w:val="bullet"/>
      <w:lvlText w:val="·"/>
      <w:lvlJc w:val="left"/>
      <w:pPr>
        <w:ind w:left="720" w:hanging="360"/>
      </w:pPr>
      <w:rPr>
        <w:rFonts w:ascii="Symbol" w:hAnsi="Symbol" w:hint="default"/>
      </w:rPr>
    </w:lvl>
    <w:lvl w:ilvl="1" w:tplc="3B54680E">
      <w:start w:val="1"/>
      <w:numFmt w:val="bullet"/>
      <w:lvlText w:val="o"/>
      <w:lvlJc w:val="left"/>
      <w:pPr>
        <w:ind w:left="1440" w:hanging="360"/>
      </w:pPr>
      <w:rPr>
        <w:rFonts w:ascii="Courier New" w:hAnsi="Courier New" w:hint="default"/>
      </w:rPr>
    </w:lvl>
    <w:lvl w:ilvl="2" w:tplc="3BCECD06">
      <w:start w:val="1"/>
      <w:numFmt w:val="bullet"/>
      <w:lvlText w:val=""/>
      <w:lvlJc w:val="left"/>
      <w:pPr>
        <w:ind w:left="2160" w:hanging="360"/>
      </w:pPr>
      <w:rPr>
        <w:rFonts w:ascii="Wingdings" w:hAnsi="Wingdings" w:hint="default"/>
      </w:rPr>
    </w:lvl>
    <w:lvl w:ilvl="3" w:tplc="E05A8E86">
      <w:start w:val="1"/>
      <w:numFmt w:val="bullet"/>
      <w:lvlText w:val=""/>
      <w:lvlJc w:val="left"/>
      <w:pPr>
        <w:ind w:left="2880" w:hanging="360"/>
      </w:pPr>
      <w:rPr>
        <w:rFonts w:ascii="Symbol" w:hAnsi="Symbol" w:hint="default"/>
      </w:rPr>
    </w:lvl>
    <w:lvl w:ilvl="4" w:tplc="3FF2AA7A">
      <w:start w:val="1"/>
      <w:numFmt w:val="bullet"/>
      <w:lvlText w:val="o"/>
      <w:lvlJc w:val="left"/>
      <w:pPr>
        <w:ind w:left="3600" w:hanging="360"/>
      </w:pPr>
      <w:rPr>
        <w:rFonts w:ascii="Courier New" w:hAnsi="Courier New" w:hint="default"/>
      </w:rPr>
    </w:lvl>
    <w:lvl w:ilvl="5" w:tplc="B5202BBE">
      <w:start w:val="1"/>
      <w:numFmt w:val="bullet"/>
      <w:lvlText w:val=""/>
      <w:lvlJc w:val="left"/>
      <w:pPr>
        <w:ind w:left="4320" w:hanging="360"/>
      </w:pPr>
      <w:rPr>
        <w:rFonts w:ascii="Wingdings" w:hAnsi="Wingdings" w:hint="default"/>
      </w:rPr>
    </w:lvl>
    <w:lvl w:ilvl="6" w:tplc="A12814AA">
      <w:start w:val="1"/>
      <w:numFmt w:val="bullet"/>
      <w:lvlText w:val=""/>
      <w:lvlJc w:val="left"/>
      <w:pPr>
        <w:ind w:left="5040" w:hanging="360"/>
      </w:pPr>
      <w:rPr>
        <w:rFonts w:ascii="Symbol" w:hAnsi="Symbol" w:hint="default"/>
      </w:rPr>
    </w:lvl>
    <w:lvl w:ilvl="7" w:tplc="411ACE4C">
      <w:start w:val="1"/>
      <w:numFmt w:val="bullet"/>
      <w:lvlText w:val="o"/>
      <w:lvlJc w:val="left"/>
      <w:pPr>
        <w:ind w:left="5760" w:hanging="360"/>
      </w:pPr>
      <w:rPr>
        <w:rFonts w:ascii="Courier New" w:hAnsi="Courier New" w:hint="default"/>
      </w:rPr>
    </w:lvl>
    <w:lvl w:ilvl="8" w:tplc="DF8A716A">
      <w:start w:val="1"/>
      <w:numFmt w:val="bullet"/>
      <w:lvlText w:val=""/>
      <w:lvlJc w:val="left"/>
      <w:pPr>
        <w:ind w:left="6480" w:hanging="360"/>
      </w:pPr>
      <w:rPr>
        <w:rFonts w:ascii="Wingdings" w:hAnsi="Wingdings" w:hint="default"/>
      </w:rPr>
    </w:lvl>
  </w:abstractNum>
  <w:num w:numId="1" w16cid:durableId="241917132">
    <w:abstractNumId w:val="15"/>
  </w:num>
  <w:num w:numId="2" w16cid:durableId="983117205">
    <w:abstractNumId w:val="4"/>
  </w:num>
  <w:num w:numId="3" w16cid:durableId="1684548725">
    <w:abstractNumId w:val="5"/>
  </w:num>
  <w:num w:numId="4" w16cid:durableId="2087922927">
    <w:abstractNumId w:val="18"/>
  </w:num>
  <w:num w:numId="5" w16cid:durableId="515464598">
    <w:abstractNumId w:val="13"/>
  </w:num>
  <w:num w:numId="6" w16cid:durableId="1279482670">
    <w:abstractNumId w:val="17"/>
  </w:num>
  <w:num w:numId="7" w16cid:durableId="1751583617">
    <w:abstractNumId w:val="21"/>
  </w:num>
  <w:num w:numId="8" w16cid:durableId="673920486">
    <w:abstractNumId w:val="7"/>
  </w:num>
  <w:num w:numId="9" w16cid:durableId="861356142">
    <w:abstractNumId w:val="2"/>
  </w:num>
  <w:num w:numId="10" w16cid:durableId="1371612891">
    <w:abstractNumId w:val="11"/>
  </w:num>
  <w:num w:numId="11" w16cid:durableId="136335988">
    <w:abstractNumId w:val="8"/>
  </w:num>
  <w:num w:numId="12" w16cid:durableId="73284446">
    <w:abstractNumId w:val="16"/>
  </w:num>
  <w:num w:numId="13" w16cid:durableId="230652862">
    <w:abstractNumId w:val="10"/>
  </w:num>
  <w:num w:numId="14" w16cid:durableId="331760005">
    <w:abstractNumId w:val="14"/>
  </w:num>
  <w:num w:numId="15" w16cid:durableId="372119189">
    <w:abstractNumId w:val="22"/>
  </w:num>
  <w:num w:numId="16" w16cid:durableId="196545289">
    <w:abstractNumId w:val="1"/>
  </w:num>
  <w:num w:numId="17" w16cid:durableId="577443148">
    <w:abstractNumId w:val="9"/>
  </w:num>
  <w:num w:numId="18" w16cid:durableId="1382943901">
    <w:abstractNumId w:val="0"/>
  </w:num>
  <w:num w:numId="19" w16cid:durableId="2034722144">
    <w:abstractNumId w:val="20"/>
  </w:num>
  <w:num w:numId="20" w16cid:durableId="451444316">
    <w:abstractNumId w:val="19"/>
  </w:num>
  <w:num w:numId="21" w16cid:durableId="1628464057">
    <w:abstractNumId w:val="6"/>
  </w:num>
  <w:num w:numId="22" w16cid:durableId="541139569">
    <w:abstractNumId w:val="12"/>
  </w:num>
  <w:num w:numId="23" w16cid:durableId="107546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Type" w:val="plain"/>
  </w:docVars>
  <w:rsids>
    <w:rsidRoot w:val="008D6984"/>
    <w:rsid w:val="0001013B"/>
    <w:rsid w:val="00014536"/>
    <w:rsid w:val="00015278"/>
    <w:rsid w:val="0001566D"/>
    <w:rsid w:val="000178A2"/>
    <w:rsid w:val="00022B13"/>
    <w:rsid w:val="00022B37"/>
    <w:rsid w:val="00022F5D"/>
    <w:rsid w:val="00024B9A"/>
    <w:rsid w:val="00024C76"/>
    <w:rsid w:val="00025215"/>
    <w:rsid w:val="000253D0"/>
    <w:rsid w:val="0002662A"/>
    <w:rsid w:val="000277E0"/>
    <w:rsid w:val="000317E2"/>
    <w:rsid w:val="00032906"/>
    <w:rsid w:val="0004022C"/>
    <w:rsid w:val="000416B6"/>
    <w:rsid w:val="0004202F"/>
    <w:rsid w:val="00042938"/>
    <w:rsid w:val="00051353"/>
    <w:rsid w:val="0005364E"/>
    <w:rsid w:val="00055665"/>
    <w:rsid w:val="000568E3"/>
    <w:rsid w:val="000616A0"/>
    <w:rsid w:val="00061AF5"/>
    <w:rsid w:val="00061F5C"/>
    <w:rsid w:val="00063124"/>
    <w:rsid w:val="00066D9F"/>
    <w:rsid w:val="0006742F"/>
    <w:rsid w:val="000710E8"/>
    <w:rsid w:val="0007238E"/>
    <w:rsid w:val="00076CCE"/>
    <w:rsid w:val="00077924"/>
    <w:rsid w:val="00080361"/>
    <w:rsid w:val="0008726E"/>
    <w:rsid w:val="0009257C"/>
    <w:rsid w:val="00094A71"/>
    <w:rsid w:val="000A614D"/>
    <w:rsid w:val="000A73AF"/>
    <w:rsid w:val="000B21CB"/>
    <w:rsid w:val="000B255D"/>
    <w:rsid w:val="000B4652"/>
    <w:rsid w:val="000C02B0"/>
    <w:rsid w:val="000C13FA"/>
    <w:rsid w:val="000C2304"/>
    <w:rsid w:val="000C2424"/>
    <w:rsid w:val="000C39ED"/>
    <w:rsid w:val="000C5173"/>
    <w:rsid w:val="000C75CB"/>
    <w:rsid w:val="000D49DC"/>
    <w:rsid w:val="000D6A13"/>
    <w:rsid w:val="000E0B99"/>
    <w:rsid w:val="000E202F"/>
    <w:rsid w:val="000E3E6F"/>
    <w:rsid w:val="000F2E9D"/>
    <w:rsid w:val="000F7A42"/>
    <w:rsid w:val="001008C4"/>
    <w:rsid w:val="00100D8D"/>
    <w:rsid w:val="00102CE0"/>
    <w:rsid w:val="00105671"/>
    <w:rsid w:val="00110675"/>
    <w:rsid w:val="001134EB"/>
    <w:rsid w:val="001155B6"/>
    <w:rsid w:val="00115AB0"/>
    <w:rsid w:val="00116781"/>
    <w:rsid w:val="00120B92"/>
    <w:rsid w:val="001238AB"/>
    <w:rsid w:val="00124123"/>
    <w:rsid w:val="001241EC"/>
    <w:rsid w:val="00125DFB"/>
    <w:rsid w:val="00127F26"/>
    <w:rsid w:val="00130EDC"/>
    <w:rsid w:val="001311A9"/>
    <w:rsid w:val="001368B6"/>
    <w:rsid w:val="00143B13"/>
    <w:rsid w:val="00151E8C"/>
    <w:rsid w:val="0015200B"/>
    <w:rsid w:val="00152109"/>
    <w:rsid w:val="00156092"/>
    <w:rsid w:val="001566EC"/>
    <w:rsid w:val="0015720C"/>
    <w:rsid w:val="00157FF4"/>
    <w:rsid w:val="00163296"/>
    <w:rsid w:val="00163BDD"/>
    <w:rsid w:val="00166403"/>
    <w:rsid w:val="0016699A"/>
    <w:rsid w:val="00167D3E"/>
    <w:rsid w:val="0017160F"/>
    <w:rsid w:val="0017421E"/>
    <w:rsid w:val="00180B81"/>
    <w:rsid w:val="0018120D"/>
    <w:rsid w:val="00181B4B"/>
    <w:rsid w:val="001820BF"/>
    <w:rsid w:val="00182752"/>
    <w:rsid w:val="00184DC3"/>
    <w:rsid w:val="00190589"/>
    <w:rsid w:val="0019140C"/>
    <w:rsid w:val="0019257C"/>
    <w:rsid w:val="001946A7"/>
    <w:rsid w:val="00194982"/>
    <w:rsid w:val="00194BEC"/>
    <w:rsid w:val="00194E4A"/>
    <w:rsid w:val="001962DF"/>
    <w:rsid w:val="00196E64"/>
    <w:rsid w:val="001A145B"/>
    <w:rsid w:val="001A3108"/>
    <w:rsid w:val="001A4692"/>
    <w:rsid w:val="001A52A3"/>
    <w:rsid w:val="001A774D"/>
    <w:rsid w:val="001B095C"/>
    <w:rsid w:val="001B1F36"/>
    <w:rsid w:val="001B32E3"/>
    <w:rsid w:val="001B509E"/>
    <w:rsid w:val="001C3A91"/>
    <w:rsid w:val="001C608E"/>
    <w:rsid w:val="001D06C7"/>
    <w:rsid w:val="001D2511"/>
    <w:rsid w:val="001D27D3"/>
    <w:rsid w:val="001D3E68"/>
    <w:rsid w:val="001D4315"/>
    <w:rsid w:val="001D6EE3"/>
    <w:rsid w:val="001E1B87"/>
    <w:rsid w:val="001E63E1"/>
    <w:rsid w:val="001F2FAF"/>
    <w:rsid w:val="001F4C22"/>
    <w:rsid w:val="00200457"/>
    <w:rsid w:val="00206F0B"/>
    <w:rsid w:val="00206FE3"/>
    <w:rsid w:val="0020715C"/>
    <w:rsid w:val="00216EF1"/>
    <w:rsid w:val="00217BF0"/>
    <w:rsid w:val="0022033A"/>
    <w:rsid w:val="002227C4"/>
    <w:rsid w:val="00222B3C"/>
    <w:rsid w:val="002232DA"/>
    <w:rsid w:val="00225622"/>
    <w:rsid w:val="00233A0F"/>
    <w:rsid w:val="002352B4"/>
    <w:rsid w:val="002361FC"/>
    <w:rsid w:val="00236B65"/>
    <w:rsid w:val="00240717"/>
    <w:rsid w:val="00241A52"/>
    <w:rsid w:val="00242F74"/>
    <w:rsid w:val="00243D81"/>
    <w:rsid w:val="00246572"/>
    <w:rsid w:val="0025014A"/>
    <w:rsid w:val="00252D40"/>
    <w:rsid w:val="002569C6"/>
    <w:rsid w:val="002579CF"/>
    <w:rsid w:val="00260408"/>
    <w:rsid w:val="00263B81"/>
    <w:rsid w:val="00264751"/>
    <w:rsid w:val="00266A32"/>
    <w:rsid w:val="00267190"/>
    <w:rsid w:val="00270C47"/>
    <w:rsid w:val="00274262"/>
    <w:rsid w:val="0027781D"/>
    <w:rsid w:val="002837CE"/>
    <w:rsid w:val="002839D6"/>
    <w:rsid w:val="00287CC0"/>
    <w:rsid w:val="002904F4"/>
    <w:rsid w:val="00290947"/>
    <w:rsid w:val="00290D36"/>
    <w:rsid w:val="00291214"/>
    <w:rsid w:val="0029560D"/>
    <w:rsid w:val="002A0F79"/>
    <w:rsid w:val="002A1153"/>
    <w:rsid w:val="002A1F94"/>
    <w:rsid w:val="002A2B28"/>
    <w:rsid w:val="002A2C79"/>
    <w:rsid w:val="002B0A39"/>
    <w:rsid w:val="002B186A"/>
    <w:rsid w:val="002B3880"/>
    <w:rsid w:val="002B4312"/>
    <w:rsid w:val="002B6A7A"/>
    <w:rsid w:val="002B768A"/>
    <w:rsid w:val="002C0BAD"/>
    <w:rsid w:val="002C2DF6"/>
    <w:rsid w:val="002C3CF6"/>
    <w:rsid w:val="002C53DA"/>
    <w:rsid w:val="002D1CE6"/>
    <w:rsid w:val="002D4885"/>
    <w:rsid w:val="002E02E0"/>
    <w:rsid w:val="002E1F71"/>
    <w:rsid w:val="002E3B64"/>
    <w:rsid w:val="002E4879"/>
    <w:rsid w:val="002E7E36"/>
    <w:rsid w:val="002F08DE"/>
    <w:rsid w:val="002F4B07"/>
    <w:rsid w:val="002F622C"/>
    <w:rsid w:val="003016E1"/>
    <w:rsid w:val="00305D2F"/>
    <w:rsid w:val="00305EEF"/>
    <w:rsid w:val="00311F5F"/>
    <w:rsid w:val="003203BE"/>
    <w:rsid w:val="00320EEE"/>
    <w:rsid w:val="003213E0"/>
    <w:rsid w:val="00324057"/>
    <w:rsid w:val="00324CF0"/>
    <w:rsid w:val="00325F3A"/>
    <w:rsid w:val="00331BCA"/>
    <w:rsid w:val="00331F36"/>
    <w:rsid w:val="003339C3"/>
    <w:rsid w:val="00334809"/>
    <w:rsid w:val="0033707A"/>
    <w:rsid w:val="00340151"/>
    <w:rsid w:val="00345541"/>
    <w:rsid w:val="0034787F"/>
    <w:rsid w:val="0035009F"/>
    <w:rsid w:val="00350EEF"/>
    <w:rsid w:val="00354B1D"/>
    <w:rsid w:val="003555FE"/>
    <w:rsid w:val="00360A6B"/>
    <w:rsid w:val="00362FFE"/>
    <w:rsid w:val="00364F01"/>
    <w:rsid w:val="0036684E"/>
    <w:rsid w:val="003700FD"/>
    <w:rsid w:val="00372CEC"/>
    <w:rsid w:val="003742AA"/>
    <w:rsid w:val="00382360"/>
    <w:rsid w:val="0038270E"/>
    <w:rsid w:val="003829C4"/>
    <w:rsid w:val="003835AD"/>
    <w:rsid w:val="00384882"/>
    <w:rsid w:val="0038663C"/>
    <w:rsid w:val="003926FB"/>
    <w:rsid w:val="00393CF0"/>
    <w:rsid w:val="00395B85"/>
    <w:rsid w:val="003962C4"/>
    <w:rsid w:val="0039655D"/>
    <w:rsid w:val="003A1035"/>
    <w:rsid w:val="003A1210"/>
    <w:rsid w:val="003A2D90"/>
    <w:rsid w:val="003A7E20"/>
    <w:rsid w:val="003B1749"/>
    <w:rsid w:val="003B1F66"/>
    <w:rsid w:val="003B3A46"/>
    <w:rsid w:val="003B4412"/>
    <w:rsid w:val="003C08DC"/>
    <w:rsid w:val="003C3178"/>
    <w:rsid w:val="003C34B5"/>
    <w:rsid w:val="003C4677"/>
    <w:rsid w:val="003C4A45"/>
    <w:rsid w:val="003C635D"/>
    <w:rsid w:val="003D0DF2"/>
    <w:rsid w:val="003D6259"/>
    <w:rsid w:val="003D7534"/>
    <w:rsid w:val="003E17EB"/>
    <w:rsid w:val="003E7878"/>
    <w:rsid w:val="003F27BF"/>
    <w:rsid w:val="003F44BF"/>
    <w:rsid w:val="003F778F"/>
    <w:rsid w:val="0040036E"/>
    <w:rsid w:val="00416412"/>
    <w:rsid w:val="00416A07"/>
    <w:rsid w:val="00417D88"/>
    <w:rsid w:val="00420993"/>
    <w:rsid w:val="004216C6"/>
    <w:rsid w:val="0042601D"/>
    <w:rsid w:val="00434E6D"/>
    <w:rsid w:val="004355C9"/>
    <w:rsid w:val="00435B63"/>
    <w:rsid w:val="004373CE"/>
    <w:rsid w:val="0043753F"/>
    <w:rsid w:val="00441934"/>
    <w:rsid w:val="00441E0C"/>
    <w:rsid w:val="004469AA"/>
    <w:rsid w:val="00451093"/>
    <w:rsid w:val="00471C87"/>
    <w:rsid w:val="004731C6"/>
    <w:rsid w:val="00474133"/>
    <w:rsid w:val="004747F8"/>
    <w:rsid w:val="0047494D"/>
    <w:rsid w:val="00482F04"/>
    <w:rsid w:val="00484EA0"/>
    <w:rsid w:val="0048540C"/>
    <w:rsid w:val="004877C0"/>
    <w:rsid w:val="00492E77"/>
    <w:rsid w:val="004961D7"/>
    <w:rsid w:val="004A0D15"/>
    <w:rsid w:val="004A20D9"/>
    <w:rsid w:val="004A4964"/>
    <w:rsid w:val="004A504E"/>
    <w:rsid w:val="004A6B02"/>
    <w:rsid w:val="004A6C3C"/>
    <w:rsid w:val="004AB718"/>
    <w:rsid w:val="004B0680"/>
    <w:rsid w:val="004B2BAD"/>
    <w:rsid w:val="004B3B19"/>
    <w:rsid w:val="004C0DB6"/>
    <w:rsid w:val="004C10B5"/>
    <w:rsid w:val="004C26F7"/>
    <w:rsid w:val="004C44DE"/>
    <w:rsid w:val="004D1CE3"/>
    <w:rsid w:val="004D50C6"/>
    <w:rsid w:val="004E01DF"/>
    <w:rsid w:val="004E062A"/>
    <w:rsid w:val="004F2657"/>
    <w:rsid w:val="004F334F"/>
    <w:rsid w:val="004F4FCC"/>
    <w:rsid w:val="004F553D"/>
    <w:rsid w:val="004F654E"/>
    <w:rsid w:val="004F744A"/>
    <w:rsid w:val="005030FE"/>
    <w:rsid w:val="00503E5E"/>
    <w:rsid w:val="00505275"/>
    <w:rsid w:val="005069C7"/>
    <w:rsid w:val="00510758"/>
    <w:rsid w:val="005108FB"/>
    <w:rsid w:val="00513356"/>
    <w:rsid w:val="00514B35"/>
    <w:rsid w:val="0052006B"/>
    <w:rsid w:val="005202F3"/>
    <w:rsid w:val="005215FA"/>
    <w:rsid w:val="00523A94"/>
    <w:rsid w:val="00523AAE"/>
    <w:rsid w:val="00524A91"/>
    <w:rsid w:val="00527049"/>
    <w:rsid w:val="00534753"/>
    <w:rsid w:val="0054092D"/>
    <w:rsid w:val="0054143F"/>
    <w:rsid w:val="005436BD"/>
    <w:rsid w:val="00544381"/>
    <w:rsid w:val="00547DD8"/>
    <w:rsid w:val="00557F98"/>
    <w:rsid w:val="00564520"/>
    <w:rsid w:val="00564D51"/>
    <w:rsid w:val="00567D50"/>
    <w:rsid w:val="00571F26"/>
    <w:rsid w:val="0057531A"/>
    <w:rsid w:val="00575651"/>
    <w:rsid w:val="005904E3"/>
    <w:rsid w:val="00591785"/>
    <w:rsid w:val="005925CF"/>
    <w:rsid w:val="0059267C"/>
    <w:rsid w:val="0059328A"/>
    <w:rsid w:val="00593662"/>
    <w:rsid w:val="00593BB7"/>
    <w:rsid w:val="005A10AE"/>
    <w:rsid w:val="005A200A"/>
    <w:rsid w:val="005A4350"/>
    <w:rsid w:val="005A554B"/>
    <w:rsid w:val="005B2261"/>
    <w:rsid w:val="005B234C"/>
    <w:rsid w:val="005B485D"/>
    <w:rsid w:val="005B4AEF"/>
    <w:rsid w:val="005B732D"/>
    <w:rsid w:val="005C318F"/>
    <w:rsid w:val="005C39ED"/>
    <w:rsid w:val="005C4CC1"/>
    <w:rsid w:val="005C51E9"/>
    <w:rsid w:val="005C61A3"/>
    <w:rsid w:val="005C7F0F"/>
    <w:rsid w:val="005D1B2B"/>
    <w:rsid w:val="005D48D7"/>
    <w:rsid w:val="005D5508"/>
    <w:rsid w:val="005E41CF"/>
    <w:rsid w:val="005E4C8F"/>
    <w:rsid w:val="005E68E5"/>
    <w:rsid w:val="005E7735"/>
    <w:rsid w:val="005E7C81"/>
    <w:rsid w:val="005F238A"/>
    <w:rsid w:val="005F30D6"/>
    <w:rsid w:val="005F4CEF"/>
    <w:rsid w:val="005F647F"/>
    <w:rsid w:val="00601528"/>
    <w:rsid w:val="0060676B"/>
    <w:rsid w:val="00607E9C"/>
    <w:rsid w:val="006151E3"/>
    <w:rsid w:val="006156E9"/>
    <w:rsid w:val="00616969"/>
    <w:rsid w:val="00625804"/>
    <w:rsid w:val="00625E54"/>
    <w:rsid w:val="006307EF"/>
    <w:rsid w:val="00632DF9"/>
    <w:rsid w:val="00635D7E"/>
    <w:rsid w:val="0063793F"/>
    <w:rsid w:val="00641B32"/>
    <w:rsid w:val="00647D1D"/>
    <w:rsid w:val="00650A12"/>
    <w:rsid w:val="00656684"/>
    <w:rsid w:val="006617E0"/>
    <w:rsid w:val="00661B1D"/>
    <w:rsid w:val="00661C41"/>
    <w:rsid w:val="00664FDB"/>
    <w:rsid w:val="0066704A"/>
    <w:rsid w:val="00675693"/>
    <w:rsid w:val="0068046C"/>
    <w:rsid w:val="00682B0F"/>
    <w:rsid w:val="00685F8B"/>
    <w:rsid w:val="00686546"/>
    <w:rsid w:val="0068766E"/>
    <w:rsid w:val="00691F00"/>
    <w:rsid w:val="00691FE9"/>
    <w:rsid w:val="00693F0D"/>
    <w:rsid w:val="00694962"/>
    <w:rsid w:val="00696B04"/>
    <w:rsid w:val="00697471"/>
    <w:rsid w:val="006A0DCA"/>
    <w:rsid w:val="006A1F31"/>
    <w:rsid w:val="006B253D"/>
    <w:rsid w:val="006B2D35"/>
    <w:rsid w:val="006B30CD"/>
    <w:rsid w:val="006B4960"/>
    <w:rsid w:val="006B73B4"/>
    <w:rsid w:val="006C0EA0"/>
    <w:rsid w:val="006C7622"/>
    <w:rsid w:val="006D023B"/>
    <w:rsid w:val="006E024A"/>
    <w:rsid w:val="006E0472"/>
    <w:rsid w:val="006E3378"/>
    <w:rsid w:val="006E7AD4"/>
    <w:rsid w:val="006E7D84"/>
    <w:rsid w:val="006E7DE6"/>
    <w:rsid w:val="006E7F2A"/>
    <w:rsid w:val="006F4076"/>
    <w:rsid w:val="006F48AA"/>
    <w:rsid w:val="006F4D2E"/>
    <w:rsid w:val="006F4FBF"/>
    <w:rsid w:val="006F60DB"/>
    <w:rsid w:val="006F7245"/>
    <w:rsid w:val="00701934"/>
    <w:rsid w:val="007035EC"/>
    <w:rsid w:val="00704D57"/>
    <w:rsid w:val="00707AD9"/>
    <w:rsid w:val="007101D3"/>
    <w:rsid w:val="00710D9C"/>
    <w:rsid w:val="007133A5"/>
    <w:rsid w:val="00716666"/>
    <w:rsid w:val="00716C5F"/>
    <w:rsid w:val="007210CD"/>
    <w:rsid w:val="00721134"/>
    <w:rsid w:val="00721394"/>
    <w:rsid w:val="00730CDE"/>
    <w:rsid w:val="00730FF8"/>
    <w:rsid w:val="00733E57"/>
    <w:rsid w:val="00734499"/>
    <w:rsid w:val="00736C70"/>
    <w:rsid w:val="007412A7"/>
    <w:rsid w:val="00741B2E"/>
    <w:rsid w:val="00742821"/>
    <w:rsid w:val="00742EE9"/>
    <w:rsid w:val="00743A6C"/>
    <w:rsid w:val="0074490A"/>
    <w:rsid w:val="007539AE"/>
    <w:rsid w:val="00753AED"/>
    <w:rsid w:val="00753E51"/>
    <w:rsid w:val="00754E36"/>
    <w:rsid w:val="007555F4"/>
    <w:rsid w:val="0076193C"/>
    <w:rsid w:val="0076290C"/>
    <w:rsid w:val="007649A6"/>
    <w:rsid w:val="00764DCC"/>
    <w:rsid w:val="007650D9"/>
    <w:rsid w:val="00770B74"/>
    <w:rsid w:val="0077248E"/>
    <w:rsid w:val="00772CBA"/>
    <w:rsid w:val="00774502"/>
    <w:rsid w:val="00776BAF"/>
    <w:rsid w:val="0077765B"/>
    <w:rsid w:val="00777CEC"/>
    <w:rsid w:val="00780704"/>
    <w:rsid w:val="00784AE8"/>
    <w:rsid w:val="00787546"/>
    <w:rsid w:val="0078AED1"/>
    <w:rsid w:val="00792DA4"/>
    <w:rsid w:val="00793A78"/>
    <w:rsid w:val="00797FED"/>
    <w:rsid w:val="007A15B9"/>
    <w:rsid w:val="007A2623"/>
    <w:rsid w:val="007A3157"/>
    <w:rsid w:val="007A5126"/>
    <w:rsid w:val="007A7B66"/>
    <w:rsid w:val="007B2BFB"/>
    <w:rsid w:val="007B5DF3"/>
    <w:rsid w:val="007B6D3C"/>
    <w:rsid w:val="007B7F09"/>
    <w:rsid w:val="007C2305"/>
    <w:rsid w:val="007C2893"/>
    <w:rsid w:val="007C39B5"/>
    <w:rsid w:val="007C3AEF"/>
    <w:rsid w:val="007C4909"/>
    <w:rsid w:val="007D4C3C"/>
    <w:rsid w:val="007E1D3E"/>
    <w:rsid w:val="007E2477"/>
    <w:rsid w:val="007E333C"/>
    <w:rsid w:val="007E42FF"/>
    <w:rsid w:val="007E4740"/>
    <w:rsid w:val="007F0B55"/>
    <w:rsid w:val="007F134D"/>
    <w:rsid w:val="007F1876"/>
    <w:rsid w:val="007F4098"/>
    <w:rsid w:val="007F68CB"/>
    <w:rsid w:val="007F7B42"/>
    <w:rsid w:val="00800E15"/>
    <w:rsid w:val="00802953"/>
    <w:rsid w:val="00806D1C"/>
    <w:rsid w:val="008076AA"/>
    <w:rsid w:val="00811A29"/>
    <w:rsid w:val="00812F1B"/>
    <w:rsid w:val="00817754"/>
    <w:rsid w:val="00820A27"/>
    <w:rsid w:val="00821D9F"/>
    <w:rsid w:val="0082431C"/>
    <w:rsid w:val="00824D59"/>
    <w:rsid w:val="008257F6"/>
    <w:rsid w:val="00825C69"/>
    <w:rsid w:val="00827729"/>
    <w:rsid w:val="00835A35"/>
    <w:rsid w:val="00835D13"/>
    <w:rsid w:val="00836680"/>
    <w:rsid w:val="0084193F"/>
    <w:rsid w:val="00842A1B"/>
    <w:rsid w:val="0084512C"/>
    <w:rsid w:val="00850AF1"/>
    <w:rsid w:val="008520D4"/>
    <w:rsid w:val="00855C4A"/>
    <w:rsid w:val="00861268"/>
    <w:rsid w:val="00861A11"/>
    <w:rsid w:val="00861CC3"/>
    <w:rsid w:val="008701EC"/>
    <w:rsid w:val="0088274D"/>
    <w:rsid w:val="00884B60"/>
    <w:rsid w:val="00884FEA"/>
    <w:rsid w:val="00895DEE"/>
    <w:rsid w:val="008A1BF3"/>
    <w:rsid w:val="008A2FD7"/>
    <w:rsid w:val="008B08A4"/>
    <w:rsid w:val="008B0C76"/>
    <w:rsid w:val="008B4379"/>
    <w:rsid w:val="008B537D"/>
    <w:rsid w:val="008B6380"/>
    <w:rsid w:val="008B671D"/>
    <w:rsid w:val="008B7798"/>
    <w:rsid w:val="008C1188"/>
    <w:rsid w:val="008C48CF"/>
    <w:rsid w:val="008C50B6"/>
    <w:rsid w:val="008C7097"/>
    <w:rsid w:val="008C73B3"/>
    <w:rsid w:val="008D1D1D"/>
    <w:rsid w:val="008D5251"/>
    <w:rsid w:val="008D6202"/>
    <w:rsid w:val="008D6984"/>
    <w:rsid w:val="008E1FA3"/>
    <w:rsid w:val="008E4078"/>
    <w:rsid w:val="008E7990"/>
    <w:rsid w:val="008F3905"/>
    <w:rsid w:val="008F50F4"/>
    <w:rsid w:val="008F6E31"/>
    <w:rsid w:val="00901293"/>
    <w:rsid w:val="00901AF8"/>
    <w:rsid w:val="00901CD5"/>
    <w:rsid w:val="009030E4"/>
    <w:rsid w:val="0090416D"/>
    <w:rsid w:val="009062C1"/>
    <w:rsid w:val="00907C04"/>
    <w:rsid w:val="0091195A"/>
    <w:rsid w:val="00913783"/>
    <w:rsid w:val="00913928"/>
    <w:rsid w:val="009147A8"/>
    <w:rsid w:val="00914EAB"/>
    <w:rsid w:val="00923622"/>
    <w:rsid w:val="009265B5"/>
    <w:rsid w:val="0093016B"/>
    <w:rsid w:val="009309B1"/>
    <w:rsid w:val="00930A08"/>
    <w:rsid w:val="00936F75"/>
    <w:rsid w:val="0094324A"/>
    <w:rsid w:val="00943A38"/>
    <w:rsid w:val="0094572D"/>
    <w:rsid w:val="00947305"/>
    <w:rsid w:val="00947C2B"/>
    <w:rsid w:val="009504A7"/>
    <w:rsid w:val="009520D4"/>
    <w:rsid w:val="0095334B"/>
    <w:rsid w:val="00954359"/>
    <w:rsid w:val="00964DE6"/>
    <w:rsid w:val="00976E07"/>
    <w:rsid w:val="00981593"/>
    <w:rsid w:val="00984F9D"/>
    <w:rsid w:val="0099084A"/>
    <w:rsid w:val="009A068F"/>
    <w:rsid w:val="009A06D9"/>
    <w:rsid w:val="009B0806"/>
    <w:rsid w:val="009B279B"/>
    <w:rsid w:val="009B624A"/>
    <w:rsid w:val="009C1D44"/>
    <w:rsid w:val="009C6C8E"/>
    <w:rsid w:val="009C7B48"/>
    <w:rsid w:val="009D0228"/>
    <w:rsid w:val="009D6A4D"/>
    <w:rsid w:val="009E3ACE"/>
    <w:rsid w:val="009E3F2B"/>
    <w:rsid w:val="009F3299"/>
    <w:rsid w:val="00A022C2"/>
    <w:rsid w:val="00A0345F"/>
    <w:rsid w:val="00A06216"/>
    <w:rsid w:val="00A109A2"/>
    <w:rsid w:val="00A17062"/>
    <w:rsid w:val="00A17647"/>
    <w:rsid w:val="00A179F2"/>
    <w:rsid w:val="00A24345"/>
    <w:rsid w:val="00A24775"/>
    <w:rsid w:val="00A264AC"/>
    <w:rsid w:val="00A34A3C"/>
    <w:rsid w:val="00A35150"/>
    <w:rsid w:val="00A36242"/>
    <w:rsid w:val="00A36B1B"/>
    <w:rsid w:val="00A401EA"/>
    <w:rsid w:val="00A41D7B"/>
    <w:rsid w:val="00A426A9"/>
    <w:rsid w:val="00A4402F"/>
    <w:rsid w:val="00A46437"/>
    <w:rsid w:val="00A47951"/>
    <w:rsid w:val="00A51240"/>
    <w:rsid w:val="00A51D7E"/>
    <w:rsid w:val="00A6013D"/>
    <w:rsid w:val="00A63A89"/>
    <w:rsid w:val="00A6505E"/>
    <w:rsid w:val="00A66BE4"/>
    <w:rsid w:val="00A66BEC"/>
    <w:rsid w:val="00A71F48"/>
    <w:rsid w:val="00A73D45"/>
    <w:rsid w:val="00A75FE2"/>
    <w:rsid w:val="00A8386F"/>
    <w:rsid w:val="00A838EF"/>
    <w:rsid w:val="00A86F56"/>
    <w:rsid w:val="00AA0314"/>
    <w:rsid w:val="00AA1D5B"/>
    <w:rsid w:val="00AB0C81"/>
    <w:rsid w:val="00AB2F37"/>
    <w:rsid w:val="00AB429A"/>
    <w:rsid w:val="00AC1488"/>
    <w:rsid w:val="00AC3ACF"/>
    <w:rsid w:val="00AC7B63"/>
    <w:rsid w:val="00AD12D4"/>
    <w:rsid w:val="00AD5DE9"/>
    <w:rsid w:val="00AE15B7"/>
    <w:rsid w:val="00AF0EE0"/>
    <w:rsid w:val="00AF455C"/>
    <w:rsid w:val="00B00246"/>
    <w:rsid w:val="00B034DE"/>
    <w:rsid w:val="00B0624A"/>
    <w:rsid w:val="00B11AC0"/>
    <w:rsid w:val="00B13B37"/>
    <w:rsid w:val="00B17F38"/>
    <w:rsid w:val="00B21E4A"/>
    <w:rsid w:val="00B21E4C"/>
    <w:rsid w:val="00B268AE"/>
    <w:rsid w:val="00B304F1"/>
    <w:rsid w:val="00B31A9B"/>
    <w:rsid w:val="00B31BCF"/>
    <w:rsid w:val="00B33090"/>
    <w:rsid w:val="00B34038"/>
    <w:rsid w:val="00B35751"/>
    <w:rsid w:val="00B36E12"/>
    <w:rsid w:val="00B427A3"/>
    <w:rsid w:val="00B5032C"/>
    <w:rsid w:val="00B5451E"/>
    <w:rsid w:val="00B556D0"/>
    <w:rsid w:val="00B57515"/>
    <w:rsid w:val="00B578EF"/>
    <w:rsid w:val="00B61B63"/>
    <w:rsid w:val="00B6344E"/>
    <w:rsid w:val="00B63D5E"/>
    <w:rsid w:val="00B64297"/>
    <w:rsid w:val="00B6544D"/>
    <w:rsid w:val="00B67C45"/>
    <w:rsid w:val="00B804BE"/>
    <w:rsid w:val="00B84666"/>
    <w:rsid w:val="00B86D45"/>
    <w:rsid w:val="00B94FF2"/>
    <w:rsid w:val="00B967E6"/>
    <w:rsid w:val="00BA255A"/>
    <w:rsid w:val="00BB1BF1"/>
    <w:rsid w:val="00BB2150"/>
    <w:rsid w:val="00BB561F"/>
    <w:rsid w:val="00BB6C7D"/>
    <w:rsid w:val="00BC088E"/>
    <w:rsid w:val="00BC24AB"/>
    <w:rsid w:val="00BD637C"/>
    <w:rsid w:val="00BD6E99"/>
    <w:rsid w:val="00BD7A62"/>
    <w:rsid w:val="00BE257B"/>
    <w:rsid w:val="00BE28CE"/>
    <w:rsid w:val="00BE5949"/>
    <w:rsid w:val="00BF485C"/>
    <w:rsid w:val="00BF72CC"/>
    <w:rsid w:val="00BF78E9"/>
    <w:rsid w:val="00BF7F8D"/>
    <w:rsid w:val="00C047C8"/>
    <w:rsid w:val="00C070A3"/>
    <w:rsid w:val="00C20379"/>
    <w:rsid w:val="00C21A0A"/>
    <w:rsid w:val="00C22F89"/>
    <w:rsid w:val="00C251F2"/>
    <w:rsid w:val="00C2626C"/>
    <w:rsid w:val="00C262D7"/>
    <w:rsid w:val="00C319E4"/>
    <w:rsid w:val="00C32B32"/>
    <w:rsid w:val="00C33E6C"/>
    <w:rsid w:val="00C34452"/>
    <w:rsid w:val="00C3483C"/>
    <w:rsid w:val="00C36EFA"/>
    <w:rsid w:val="00C404D3"/>
    <w:rsid w:val="00C415DC"/>
    <w:rsid w:val="00C45B84"/>
    <w:rsid w:val="00C47E71"/>
    <w:rsid w:val="00C52E4D"/>
    <w:rsid w:val="00C52FF5"/>
    <w:rsid w:val="00C55C03"/>
    <w:rsid w:val="00C61118"/>
    <w:rsid w:val="00C67D00"/>
    <w:rsid w:val="00C800BC"/>
    <w:rsid w:val="00C8677C"/>
    <w:rsid w:val="00C90C48"/>
    <w:rsid w:val="00C929DD"/>
    <w:rsid w:val="00C9751B"/>
    <w:rsid w:val="00C975A8"/>
    <w:rsid w:val="00CA401D"/>
    <w:rsid w:val="00CA522D"/>
    <w:rsid w:val="00CA6700"/>
    <w:rsid w:val="00CB199A"/>
    <w:rsid w:val="00CB1F52"/>
    <w:rsid w:val="00CB2B3B"/>
    <w:rsid w:val="00CB2F5A"/>
    <w:rsid w:val="00CB7857"/>
    <w:rsid w:val="00CC1129"/>
    <w:rsid w:val="00CC3CB6"/>
    <w:rsid w:val="00CC4AC3"/>
    <w:rsid w:val="00CC754F"/>
    <w:rsid w:val="00CD11B5"/>
    <w:rsid w:val="00CD4D18"/>
    <w:rsid w:val="00CE0509"/>
    <w:rsid w:val="00CE063F"/>
    <w:rsid w:val="00CE2A10"/>
    <w:rsid w:val="00CE40BF"/>
    <w:rsid w:val="00CE5778"/>
    <w:rsid w:val="00CE64F6"/>
    <w:rsid w:val="00CF3706"/>
    <w:rsid w:val="00CF41CA"/>
    <w:rsid w:val="00CF760F"/>
    <w:rsid w:val="00CF78B5"/>
    <w:rsid w:val="00D038B1"/>
    <w:rsid w:val="00D16EDF"/>
    <w:rsid w:val="00D219E9"/>
    <w:rsid w:val="00D3008D"/>
    <w:rsid w:val="00D31DD6"/>
    <w:rsid w:val="00D321DF"/>
    <w:rsid w:val="00D323D9"/>
    <w:rsid w:val="00D32629"/>
    <w:rsid w:val="00D3279A"/>
    <w:rsid w:val="00D32F4B"/>
    <w:rsid w:val="00D347EA"/>
    <w:rsid w:val="00D41697"/>
    <w:rsid w:val="00D418EA"/>
    <w:rsid w:val="00D442B0"/>
    <w:rsid w:val="00D453D6"/>
    <w:rsid w:val="00D4616E"/>
    <w:rsid w:val="00D46467"/>
    <w:rsid w:val="00D469D5"/>
    <w:rsid w:val="00D47291"/>
    <w:rsid w:val="00D538AE"/>
    <w:rsid w:val="00D60F3A"/>
    <w:rsid w:val="00D63538"/>
    <w:rsid w:val="00D6488C"/>
    <w:rsid w:val="00D71EC3"/>
    <w:rsid w:val="00D76287"/>
    <w:rsid w:val="00D76A9F"/>
    <w:rsid w:val="00D802F6"/>
    <w:rsid w:val="00D82037"/>
    <w:rsid w:val="00D83EE9"/>
    <w:rsid w:val="00D90740"/>
    <w:rsid w:val="00D93A46"/>
    <w:rsid w:val="00D93A95"/>
    <w:rsid w:val="00D946CC"/>
    <w:rsid w:val="00DA2377"/>
    <w:rsid w:val="00DA3DE3"/>
    <w:rsid w:val="00DB4E5D"/>
    <w:rsid w:val="00DB5935"/>
    <w:rsid w:val="00DB669C"/>
    <w:rsid w:val="00DB73E2"/>
    <w:rsid w:val="00DC013D"/>
    <w:rsid w:val="00DC2569"/>
    <w:rsid w:val="00DC54F7"/>
    <w:rsid w:val="00DD2BCE"/>
    <w:rsid w:val="00DD30CB"/>
    <w:rsid w:val="00DD340E"/>
    <w:rsid w:val="00DD521F"/>
    <w:rsid w:val="00DD5862"/>
    <w:rsid w:val="00DE196C"/>
    <w:rsid w:val="00DE1B2B"/>
    <w:rsid w:val="00DE4BB0"/>
    <w:rsid w:val="00DE5CC9"/>
    <w:rsid w:val="00DF0A05"/>
    <w:rsid w:val="00DF0FDF"/>
    <w:rsid w:val="00DF2A5A"/>
    <w:rsid w:val="00DF5B78"/>
    <w:rsid w:val="00DF70CC"/>
    <w:rsid w:val="00E0338F"/>
    <w:rsid w:val="00E1091D"/>
    <w:rsid w:val="00E11E6F"/>
    <w:rsid w:val="00E12961"/>
    <w:rsid w:val="00E13125"/>
    <w:rsid w:val="00E1515F"/>
    <w:rsid w:val="00E15CC0"/>
    <w:rsid w:val="00E16908"/>
    <w:rsid w:val="00E16B21"/>
    <w:rsid w:val="00E16B4B"/>
    <w:rsid w:val="00E17F1F"/>
    <w:rsid w:val="00E20339"/>
    <w:rsid w:val="00E218CD"/>
    <w:rsid w:val="00E25EA2"/>
    <w:rsid w:val="00E260F3"/>
    <w:rsid w:val="00E31E7C"/>
    <w:rsid w:val="00E32A3C"/>
    <w:rsid w:val="00E32B78"/>
    <w:rsid w:val="00E33D1D"/>
    <w:rsid w:val="00E34479"/>
    <w:rsid w:val="00E359E4"/>
    <w:rsid w:val="00E40DE9"/>
    <w:rsid w:val="00E410E0"/>
    <w:rsid w:val="00E444E7"/>
    <w:rsid w:val="00E4460A"/>
    <w:rsid w:val="00E44D94"/>
    <w:rsid w:val="00E46F93"/>
    <w:rsid w:val="00E472F2"/>
    <w:rsid w:val="00E47AEE"/>
    <w:rsid w:val="00E51A57"/>
    <w:rsid w:val="00E52F72"/>
    <w:rsid w:val="00E549B3"/>
    <w:rsid w:val="00E557BE"/>
    <w:rsid w:val="00E5598E"/>
    <w:rsid w:val="00E57DC0"/>
    <w:rsid w:val="00E6199B"/>
    <w:rsid w:val="00E61D94"/>
    <w:rsid w:val="00E6591B"/>
    <w:rsid w:val="00E66FEE"/>
    <w:rsid w:val="00E71187"/>
    <w:rsid w:val="00E71D5A"/>
    <w:rsid w:val="00E72FB6"/>
    <w:rsid w:val="00E74027"/>
    <w:rsid w:val="00E85679"/>
    <w:rsid w:val="00E907BD"/>
    <w:rsid w:val="00E9140F"/>
    <w:rsid w:val="00EA1B75"/>
    <w:rsid w:val="00EA362B"/>
    <w:rsid w:val="00EA6876"/>
    <w:rsid w:val="00EB05D3"/>
    <w:rsid w:val="00EB075B"/>
    <w:rsid w:val="00EB15F7"/>
    <w:rsid w:val="00EB1845"/>
    <w:rsid w:val="00EB26BF"/>
    <w:rsid w:val="00EB2F03"/>
    <w:rsid w:val="00EB3FB5"/>
    <w:rsid w:val="00EB52DF"/>
    <w:rsid w:val="00EC0789"/>
    <w:rsid w:val="00EC2C03"/>
    <w:rsid w:val="00EC5E63"/>
    <w:rsid w:val="00EC6404"/>
    <w:rsid w:val="00EC760F"/>
    <w:rsid w:val="00ED3E61"/>
    <w:rsid w:val="00ED43BA"/>
    <w:rsid w:val="00ED6BBA"/>
    <w:rsid w:val="00EE340E"/>
    <w:rsid w:val="00EE7A21"/>
    <w:rsid w:val="00EF19A6"/>
    <w:rsid w:val="00EF4BC2"/>
    <w:rsid w:val="00F02779"/>
    <w:rsid w:val="00F04746"/>
    <w:rsid w:val="00F05829"/>
    <w:rsid w:val="00F07501"/>
    <w:rsid w:val="00F11919"/>
    <w:rsid w:val="00F12148"/>
    <w:rsid w:val="00F2050E"/>
    <w:rsid w:val="00F20636"/>
    <w:rsid w:val="00F2169C"/>
    <w:rsid w:val="00F2410B"/>
    <w:rsid w:val="00F24220"/>
    <w:rsid w:val="00F2565F"/>
    <w:rsid w:val="00F2693C"/>
    <w:rsid w:val="00F26E9D"/>
    <w:rsid w:val="00F27FF9"/>
    <w:rsid w:val="00F34ADB"/>
    <w:rsid w:val="00F34DE0"/>
    <w:rsid w:val="00F34F2F"/>
    <w:rsid w:val="00F36E5E"/>
    <w:rsid w:val="00F43879"/>
    <w:rsid w:val="00F4653C"/>
    <w:rsid w:val="00F5145F"/>
    <w:rsid w:val="00F52F68"/>
    <w:rsid w:val="00F56D33"/>
    <w:rsid w:val="00F60CCA"/>
    <w:rsid w:val="00F622AF"/>
    <w:rsid w:val="00F62467"/>
    <w:rsid w:val="00F662C6"/>
    <w:rsid w:val="00F67871"/>
    <w:rsid w:val="00F713F8"/>
    <w:rsid w:val="00F7479B"/>
    <w:rsid w:val="00F7576E"/>
    <w:rsid w:val="00F764FB"/>
    <w:rsid w:val="00F77E85"/>
    <w:rsid w:val="00F8064E"/>
    <w:rsid w:val="00F8179B"/>
    <w:rsid w:val="00F91792"/>
    <w:rsid w:val="00F91C45"/>
    <w:rsid w:val="00F94400"/>
    <w:rsid w:val="00F94AF8"/>
    <w:rsid w:val="00F96646"/>
    <w:rsid w:val="00FA51E3"/>
    <w:rsid w:val="00FA5D04"/>
    <w:rsid w:val="00FA60CB"/>
    <w:rsid w:val="00FA726A"/>
    <w:rsid w:val="00FA729D"/>
    <w:rsid w:val="00FB381B"/>
    <w:rsid w:val="00FB3F53"/>
    <w:rsid w:val="00FB7D25"/>
    <w:rsid w:val="00FC462B"/>
    <w:rsid w:val="00FC6D78"/>
    <w:rsid w:val="00FD2DCA"/>
    <w:rsid w:val="00FD509C"/>
    <w:rsid w:val="00FE085A"/>
    <w:rsid w:val="00FE0D6D"/>
    <w:rsid w:val="00FE2545"/>
    <w:rsid w:val="00FE28DF"/>
    <w:rsid w:val="00FF0024"/>
    <w:rsid w:val="00FF22A5"/>
    <w:rsid w:val="00FF2723"/>
    <w:rsid w:val="00FF35C9"/>
    <w:rsid w:val="00FF44E0"/>
    <w:rsid w:val="00FF6323"/>
    <w:rsid w:val="00FF7C8B"/>
    <w:rsid w:val="01D54E44"/>
    <w:rsid w:val="02222A2F"/>
    <w:rsid w:val="0296248D"/>
    <w:rsid w:val="02FB7B3F"/>
    <w:rsid w:val="02FCB018"/>
    <w:rsid w:val="035F2202"/>
    <w:rsid w:val="03E18FE3"/>
    <w:rsid w:val="04309089"/>
    <w:rsid w:val="045DD30C"/>
    <w:rsid w:val="049803AA"/>
    <w:rsid w:val="049DDF2D"/>
    <w:rsid w:val="04B791A7"/>
    <w:rsid w:val="0500E2FE"/>
    <w:rsid w:val="052AE4A0"/>
    <w:rsid w:val="05F9A8D9"/>
    <w:rsid w:val="0654054D"/>
    <w:rsid w:val="0754896C"/>
    <w:rsid w:val="07C1963E"/>
    <w:rsid w:val="07DE1CDB"/>
    <w:rsid w:val="09E6A6DF"/>
    <w:rsid w:val="0B288EBB"/>
    <w:rsid w:val="0B438D02"/>
    <w:rsid w:val="0B77B5B7"/>
    <w:rsid w:val="0B8D4C81"/>
    <w:rsid w:val="0C67A1EB"/>
    <w:rsid w:val="0D402005"/>
    <w:rsid w:val="0D5891A2"/>
    <w:rsid w:val="0D648F38"/>
    <w:rsid w:val="0DC48E14"/>
    <w:rsid w:val="0DE1B07C"/>
    <w:rsid w:val="0E6F73D0"/>
    <w:rsid w:val="0E9082E1"/>
    <w:rsid w:val="0F4E40F9"/>
    <w:rsid w:val="0FBBE25E"/>
    <w:rsid w:val="100567A3"/>
    <w:rsid w:val="1022069F"/>
    <w:rsid w:val="109169B8"/>
    <w:rsid w:val="10C1B94A"/>
    <w:rsid w:val="10D37CE4"/>
    <w:rsid w:val="118A5DEF"/>
    <w:rsid w:val="11914F42"/>
    <w:rsid w:val="11A5E745"/>
    <w:rsid w:val="12962231"/>
    <w:rsid w:val="135DCAE9"/>
    <w:rsid w:val="15C978FF"/>
    <w:rsid w:val="16865FB1"/>
    <w:rsid w:val="17CE00A7"/>
    <w:rsid w:val="1821C0A0"/>
    <w:rsid w:val="18F3F11B"/>
    <w:rsid w:val="19613D59"/>
    <w:rsid w:val="1969088B"/>
    <w:rsid w:val="1A5A9206"/>
    <w:rsid w:val="1AF9E881"/>
    <w:rsid w:val="1B21E28F"/>
    <w:rsid w:val="1B712A4C"/>
    <w:rsid w:val="1CE791CB"/>
    <w:rsid w:val="1DB5FFC6"/>
    <w:rsid w:val="1DCA4AC8"/>
    <w:rsid w:val="1F5BCE61"/>
    <w:rsid w:val="1FC7B309"/>
    <w:rsid w:val="20192C8B"/>
    <w:rsid w:val="20485413"/>
    <w:rsid w:val="206A939D"/>
    <w:rsid w:val="214412FD"/>
    <w:rsid w:val="21484BA3"/>
    <w:rsid w:val="21497145"/>
    <w:rsid w:val="2316BF29"/>
    <w:rsid w:val="23CA7A39"/>
    <w:rsid w:val="257169B3"/>
    <w:rsid w:val="25AF6395"/>
    <w:rsid w:val="268EF4E6"/>
    <w:rsid w:val="26C6846E"/>
    <w:rsid w:val="271A860A"/>
    <w:rsid w:val="27561A5D"/>
    <w:rsid w:val="29469B38"/>
    <w:rsid w:val="298584A8"/>
    <w:rsid w:val="2A3143EA"/>
    <w:rsid w:val="2AEDC384"/>
    <w:rsid w:val="2BEF4752"/>
    <w:rsid w:val="2C4E7373"/>
    <w:rsid w:val="2C5D85AB"/>
    <w:rsid w:val="2C874559"/>
    <w:rsid w:val="2CAACDC6"/>
    <w:rsid w:val="2CD8F38B"/>
    <w:rsid w:val="2D5F5861"/>
    <w:rsid w:val="2E6A0689"/>
    <w:rsid w:val="2EAD7FC1"/>
    <w:rsid w:val="2EE5E3AD"/>
    <w:rsid w:val="2F5B4634"/>
    <w:rsid w:val="30E8AE89"/>
    <w:rsid w:val="31319676"/>
    <w:rsid w:val="34333A93"/>
    <w:rsid w:val="34C281EC"/>
    <w:rsid w:val="359D7299"/>
    <w:rsid w:val="35B59B2B"/>
    <w:rsid w:val="36EC6FB7"/>
    <w:rsid w:val="37DE7226"/>
    <w:rsid w:val="385D6163"/>
    <w:rsid w:val="38B4858D"/>
    <w:rsid w:val="38DBA929"/>
    <w:rsid w:val="38F9C7CB"/>
    <w:rsid w:val="392C20DD"/>
    <w:rsid w:val="3B44C6A5"/>
    <w:rsid w:val="3B56E2E7"/>
    <w:rsid w:val="3BCE9E3A"/>
    <w:rsid w:val="3BFD95FA"/>
    <w:rsid w:val="3C8A7B96"/>
    <w:rsid w:val="3C93F245"/>
    <w:rsid w:val="3CF9BE03"/>
    <w:rsid w:val="3D278AD3"/>
    <w:rsid w:val="3EC34FD4"/>
    <w:rsid w:val="3FA06708"/>
    <w:rsid w:val="3FE6D8E4"/>
    <w:rsid w:val="402783D7"/>
    <w:rsid w:val="404EB407"/>
    <w:rsid w:val="405FA811"/>
    <w:rsid w:val="407A121C"/>
    <w:rsid w:val="409F199A"/>
    <w:rsid w:val="41762F51"/>
    <w:rsid w:val="41F160C4"/>
    <w:rsid w:val="422DBBF2"/>
    <w:rsid w:val="42ED4217"/>
    <w:rsid w:val="43E63D72"/>
    <w:rsid w:val="44696356"/>
    <w:rsid w:val="44CFFDCB"/>
    <w:rsid w:val="452B8984"/>
    <w:rsid w:val="471C4703"/>
    <w:rsid w:val="4722C96A"/>
    <w:rsid w:val="47A0AED4"/>
    <w:rsid w:val="48681505"/>
    <w:rsid w:val="489D7249"/>
    <w:rsid w:val="48AE5259"/>
    <w:rsid w:val="48E3CAB3"/>
    <w:rsid w:val="48EDA0A6"/>
    <w:rsid w:val="4A3FE5C9"/>
    <w:rsid w:val="4A4DC3A1"/>
    <w:rsid w:val="4A8174A3"/>
    <w:rsid w:val="4B67C9DC"/>
    <w:rsid w:val="4CA85EFB"/>
    <w:rsid w:val="4E2F1BF7"/>
    <w:rsid w:val="4E36ED6D"/>
    <w:rsid w:val="4EA83962"/>
    <w:rsid w:val="4EB1560C"/>
    <w:rsid w:val="4F3965F3"/>
    <w:rsid w:val="4F94AC77"/>
    <w:rsid w:val="5026582D"/>
    <w:rsid w:val="5031CA88"/>
    <w:rsid w:val="50BB8733"/>
    <w:rsid w:val="50F60B03"/>
    <w:rsid w:val="51AC341C"/>
    <w:rsid w:val="52639443"/>
    <w:rsid w:val="52698BE7"/>
    <w:rsid w:val="550DD13B"/>
    <w:rsid w:val="556AD68B"/>
    <w:rsid w:val="5626D462"/>
    <w:rsid w:val="5654B81B"/>
    <w:rsid w:val="56E2FEC4"/>
    <w:rsid w:val="5797A88C"/>
    <w:rsid w:val="57A93307"/>
    <w:rsid w:val="57C67CA3"/>
    <w:rsid w:val="584B74BD"/>
    <w:rsid w:val="59723CE9"/>
    <w:rsid w:val="5B01317D"/>
    <w:rsid w:val="5B631811"/>
    <w:rsid w:val="5CB96424"/>
    <w:rsid w:val="5D56380A"/>
    <w:rsid w:val="5D610DA9"/>
    <w:rsid w:val="5FA8AC71"/>
    <w:rsid w:val="5FC76B04"/>
    <w:rsid w:val="60A0DBFA"/>
    <w:rsid w:val="6135BA4A"/>
    <w:rsid w:val="616A7378"/>
    <w:rsid w:val="6198C88A"/>
    <w:rsid w:val="6273D886"/>
    <w:rsid w:val="62D2436E"/>
    <w:rsid w:val="63883E94"/>
    <w:rsid w:val="63AE904F"/>
    <w:rsid w:val="646F9A0A"/>
    <w:rsid w:val="648DB51D"/>
    <w:rsid w:val="649F4B17"/>
    <w:rsid w:val="64B911CD"/>
    <w:rsid w:val="64D9205D"/>
    <w:rsid w:val="64F12287"/>
    <w:rsid w:val="6533CCF9"/>
    <w:rsid w:val="661412AF"/>
    <w:rsid w:val="6633FB01"/>
    <w:rsid w:val="668923D8"/>
    <w:rsid w:val="66C0A6FB"/>
    <w:rsid w:val="671633D9"/>
    <w:rsid w:val="6744EE48"/>
    <w:rsid w:val="6915BE56"/>
    <w:rsid w:val="69D4751E"/>
    <w:rsid w:val="6A2E1412"/>
    <w:rsid w:val="6C41058C"/>
    <w:rsid w:val="6CA47101"/>
    <w:rsid w:val="6CC1E5CE"/>
    <w:rsid w:val="6D291369"/>
    <w:rsid w:val="6D9E945E"/>
    <w:rsid w:val="6DFEEABE"/>
    <w:rsid w:val="6E8D2171"/>
    <w:rsid w:val="710224DB"/>
    <w:rsid w:val="725338EB"/>
    <w:rsid w:val="7265E874"/>
    <w:rsid w:val="728835B6"/>
    <w:rsid w:val="72B03C90"/>
    <w:rsid w:val="73998EC3"/>
    <w:rsid w:val="747DD08A"/>
    <w:rsid w:val="74875BA0"/>
    <w:rsid w:val="7518B7F9"/>
    <w:rsid w:val="751A5F5F"/>
    <w:rsid w:val="768087CF"/>
    <w:rsid w:val="76A58266"/>
    <w:rsid w:val="76D21C7C"/>
    <w:rsid w:val="775E2D7B"/>
    <w:rsid w:val="77C4B83F"/>
    <w:rsid w:val="791D9722"/>
    <w:rsid w:val="793841DB"/>
    <w:rsid w:val="799F295B"/>
    <w:rsid w:val="7A31301D"/>
    <w:rsid w:val="7A716D01"/>
    <w:rsid w:val="7C3AD12F"/>
    <w:rsid w:val="7C7AF2AC"/>
    <w:rsid w:val="7D3757B3"/>
    <w:rsid w:val="7E618D29"/>
    <w:rsid w:val="7EDE99A3"/>
    <w:rsid w:val="7F2CB13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FE893"/>
  <w15:docId w15:val="{FD2E31DC-D05D-40E0-A25B-168917B6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pPr>
    <w:rPr>
      <w:rFonts w:ascii="Arial" w:hAnsi="Arial"/>
      <w:sz w:val="24"/>
      <w:szCs w:val="24"/>
      <w:lang w:eastAsia="en-US"/>
    </w:rPr>
  </w:style>
  <w:style w:type="paragraph" w:styleId="Heading1">
    <w:name w:val="heading 1"/>
    <w:basedOn w:val="Normal"/>
    <w:next w:val="Normal"/>
    <w:qFormat/>
    <w:pPr>
      <w:tabs>
        <w:tab w:val="left" w:pos="1080"/>
      </w:tabs>
      <w:spacing w:before="240"/>
      <w:outlineLvl w:val="0"/>
    </w:pPr>
    <w:rPr>
      <w:rFonts w:cs="Arial"/>
      <w:b/>
      <w:bCs/>
      <w:caps/>
      <w:vanish/>
      <w:color w:val="008000"/>
      <w:kern w:val="24"/>
      <w:szCs w:val="32"/>
    </w:rPr>
  </w:style>
  <w:style w:type="paragraph" w:styleId="Heading2">
    <w:name w:val="heading 2"/>
    <w:basedOn w:val="Normal"/>
    <w:next w:val="Normal"/>
    <w:qFormat/>
    <w:pPr>
      <w:outlineLvl w:val="1"/>
    </w:pPr>
    <w:rPr>
      <w:rFonts w:cs="Arial"/>
      <w:caps/>
      <w:vanish/>
      <w:color w:val="008000"/>
      <w:szCs w:val="28"/>
      <w:u w:val="single"/>
    </w:rPr>
  </w:style>
  <w:style w:type="paragraph" w:styleId="Heading3">
    <w:name w:val="heading 3"/>
    <w:basedOn w:val="Normal"/>
    <w:next w:val="Normal"/>
    <w:qFormat/>
    <w:pPr>
      <w:outlineLvl w:val="2"/>
    </w:pPr>
    <w:rPr>
      <w:rFonts w:cs="Arial"/>
      <w:bCs/>
      <w:iCs/>
      <w:vanish/>
      <w:color w:val="008000"/>
      <w:szCs w:val="26"/>
    </w:rPr>
  </w:style>
  <w:style w:type="paragraph" w:styleId="Heading4">
    <w:name w:val="heading 4"/>
    <w:basedOn w:val="Normal"/>
    <w:next w:val="Normal"/>
    <w:qFormat/>
    <w:pPr>
      <w:keepNext/>
      <w:keepLines/>
      <w:spacing w:before="480"/>
      <w:outlineLvl w:val="3"/>
    </w:pPr>
    <w:rPr>
      <w:b/>
      <w:bCs/>
      <w:caps/>
      <w:sz w:val="28"/>
      <w:szCs w:val="28"/>
    </w:rPr>
  </w:style>
  <w:style w:type="paragraph" w:styleId="Heading5">
    <w:name w:val="heading 5"/>
    <w:basedOn w:val="Normal"/>
    <w:next w:val="Normal"/>
    <w:qFormat/>
    <w:pPr>
      <w:keepNext/>
      <w:keepLines/>
      <w:outlineLvl w:val="4"/>
    </w:pPr>
    <w:rPr>
      <w:b/>
      <w:bCs/>
      <w:iCs/>
      <w:caps/>
      <w:szCs w:val="26"/>
    </w:rPr>
  </w:style>
  <w:style w:type="paragraph" w:styleId="Heading6">
    <w:name w:val="heading 6"/>
    <w:basedOn w:val="Normal"/>
    <w:next w:val="Normal"/>
    <w:qFormat/>
    <w:pPr>
      <w:keepNext/>
      <w:keepLines/>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Indent">
    <w:name w:val="BulletsIndent"/>
    <w:aliases w:val="BI"/>
    <w:basedOn w:val="Normal"/>
    <w:pPr>
      <w:numPr>
        <w:numId w:val="2"/>
      </w:numPr>
    </w:pPr>
  </w:style>
  <w:style w:type="paragraph" w:customStyle="1" w:styleId="BulletsIndentSquare">
    <w:name w:val="BulletsIndentSquare"/>
    <w:aliases w:val="BIS"/>
    <w:basedOn w:val="BulletsIndent"/>
    <w:pPr>
      <w:numPr>
        <w:numId w:val="3"/>
      </w:numPr>
    </w:pPr>
  </w:style>
  <w:style w:type="paragraph" w:customStyle="1" w:styleId="BulletsLine">
    <w:name w:val="BulletsLine"/>
    <w:aliases w:val="BL"/>
    <w:basedOn w:val="Normal"/>
    <w:pPr>
      <w:numPr>
        <w:numId w:val="4"/>
      </w:numPr>
      <w:spacing w:after="120"/>
    </w:pPr>
  </w:style>
  <w:style w:type="paragraph" w:customStyle="1" w:styleId="BulletsParagraph">
    <w:name w:val="BulletsParagraph"/>
    <w:aliases w:val="BP"/>
    <w:basedOn w:val="Normal"/>
    <w:pPr>
      <w:numPr>
        <w:numId w:val="5"/>
      </w:numPr>
    </w:pPr>
  </w:style>
  <w:style w:type="paragraph" w:customStyle="1" w:styleId="GOPlain">
    <w:name w:val="GOPlain"/>
    <w:aliases w:val="P"/>
    <w:basedOn w:val="Normal"/>
    <w:pPr>
      <w:spacing w:after="0"/>
    </w:pPr>
    <w:rPr>
      <w:szCs w:val="20"/>
    </w:rPr>
  </w:style>
  <w:style w:type="paragraph" w:customStyle="1" w:styleId="DocsID">
    <w:name w:val="DocsID"/>
    <w:basedOn w:val="Normal"/>
    <w:pPr>
      <w:spacing w:after="0"/>
    </w:pPr>
    <w:rPr>
      <w:rFonts w:ascii="Times New Roman" w:hAnsi="Times New Roman"/>
      <w:sz w:val="16"/>
      <w:szCs w:val="20"/>
    </w:rPr>
  </w:style>
  <w:style w:type="paragraph" w:styleId="Footer">
    <w:name w:val="footer"/>
    <w:basedOn w:val="Normal"/>
    <w:link w:val="FooterChar"/>
    <w:uiPriority w:val="29"/>
    <w:pPr>
      <w:spacing w:after="0"/>
    </w:pPr>
  </w:style>
  <w:style w:type="paragraph" w:customStyle="1" w:styleId="GOBulletlist2">
    <w:name w:val="GOBullet list2"/>
    <w:aliases w:val="BL2"/>
    <w:basedOn w:val="Normal"/>
    <w:pPr>
      <w:numPr>
        <w:numId w:val="6"/>
      </w:numPr>
      <w:spacing w:after="120"/>
    </w:pPr>
    <w:rPr>
      <w:rFonts w:ascii="Times New Roman" w:hAnsi="Times New Roman"/>
    </w:rPr>
  </w:style>
  <w:style w:type="paragraph" w:customStyle="1" w:styleId="FooterEven">
    <w:name w:val="Footer Even"/>
    <w:basedOn w:val="Footer"/>
  </w:style>
  <w:style w:type="paragraph" w:customStyle="1" w:styleId="FooterOdd">
    <w:name w:val="Footer Odd"/>
    <w:basedOn w:val="Footer"/>
    <w:pPr>
      <w:jc w:val="right"/>
    </w:pPr>
  </w:style>
  <w:style w:type="paragraph" w:customStyle="1" w:styleId="GOBlock">
    <w:name w:val="GOBlock"/>
    <w:aliases w:val="B"/>
    <w:basedOn w:val="Normal"/>
    <w:pPr>
      <w:ind w:left="720" w:right="720"/>
    </w:pPr>
    <w:rPr>
      <w:szCs w:val="20"/>
    </w:rPr>
  </w:style>
  <w:style w:type="paragraph" w:customStyle="1" w:styleId="GOBlock1">
    <w:name w:val="GOBlock1"/>
    <w:aliases w:val="B1"/>
    <w:basedOn w:val="Normal"/>
    <w:pPr>
      <w:ind w:left="1440" w:right="1440"/>
    </w:pPr>
    <w:rPr>
      <w:szCs w:val="20"/>
    </w:rPr>
  </w:style>
  <w:style w:type="paragraph" w:customStyle="1" w:styleId="GOBulletlist1">
    <w:name w:val="GOBullet list1"/>
    <w:aliases w:val="BL1"/>
    <w:basedOn w:val="Normal"/>
    <w:pPr>
      <w:numPr>
        <w:numId w:val="7"/>
      </w:numPr>
      <w:spacing w:after="120"/>
    </w:pPr>
    <w:rPr>
      <w:rFonts w:ascii="Times New Roman" w:hAnsi="Times New Roman"/>
      <w:szCs w:val="20"/>
    </w:rPr>
  </w:style>
  <w:style w:type="paragraph" w:customStyle="1" w:styleId="GOCentre">
    <w:name w:val="GOCentre"/>
    <w:aliases w:val="C"/>
    <w:basedOn w:val="Normal"/>
    <w:pPr>
      <w:jc w:val="center"/>
    </w:pPr>
    <w:rPr>
      <w:szCs w:val="20"/>
    </w:rPr>
  </w:style>
  <w:style w:type="paragraph" w:customStyle="1" w:styleId="GOHanging">
    <w:name w:val="GOHanging"/>
    <w:aliases w:val="H"/>
    <w:basedOn w:val="Normal"/>
    <w:pPr>
      <w:ind w:left="720" w:hanging="720"/>
    </w:pPr>
    <w:rPr>
      <w:szCs w:val="20"/>
    </w:rPr>
  </w:style>
  <w:style w:type="paragraph" w:customStyle="1" w:styleId="GOIndent1">
    <w:name w:val="GOIndent1"/>
    <w:aliases w:val="I1"/>
    <w:basedOn w:val="Normal"/>
    <w:pPr>
      <w:ind w:left="720"/>
    </w:pPr>
    <w:rPr>
      <w:szCs w:val="20"/>
    </w:rPr>
  </w:style>
  <w:style w:type="paragraph" w:customStyle="1" w:styleId="GOIndent2">
    <w:name w:val="GOIndent2"/>
    <w:aliases w:val="I2"/>
    <w:basedOn w:val="Normal"/>
    <w:pPr>
      <w:ind w:left="1440"/>
    </w:pPr>
    <w:rPr>
      <w:szCs w:val="20"/>
    </w:rPr>
  </w:style>
  <w:style w:type="paragraph" w:customStyle="1" w:styleId="GOIndent3">
    <w:name w:val="GOIndent3"/>
    <w:aliases w:val="I3"/>
    <w:basedOn w:val="Normal"/>
    <w:pPr>
      <w:ind w:left="2160"/>
    </w:pPr>
    <w:rPr>
      <w:szCs w:val="20"/>
    </w:rPr>
  </w:style>
  <w:style w:type="paragraph" w:customStyle="1" w:styleId="GOIndent4">
    <w:name w:val="GOIndent4"/>
    <w:aliases w:val="I4"/>
    <w:basedOn w:val="Normal"/>
    <w:pPr>
      <w:ind w:left="2880"/>
    </w:pPr>
    <w:rPr>
      <w:szCs w:val="20"/>
    </w:rPr>
  </w:style>
  <w:style w:type="paragraph" w:customStyle="1" w:styleId="GOIndent5">
    <w:name w:val="GOIndent5"/>
    <w:aliases w:val="I5"/>
    <w:basedOn w:val="Normal"/>
    <w:pPr>
      <w:ind w:left="3600"/>
    </w:pPr>
    <w:rPr>
      <w:szCs w:val="20"/>
    </w:rPr>
  </w:style>
  <w:style w:type="paragraph" w:customStyle="1" w:styleId="GOLeft">
    <w:name w:val="GOLeft"/>
    <w:aliases w:val="L"/>
    <w:basedOn w:val="Normal"/>
    <w:rPr>
      <w:szCs w:val="20"/>
    </w:rPr>
  </w:style>
  <w:style w:type="paragraph" w:customStyle="1" w:styleId="GOMainHeading">
    <w:name w:val="GOMainHeading"/>
    <w:aliases w:val="MH"/>
    <w:basedOn w:val="Normal"/>
    <w:next w:val="Normal"/>
    <w:pPr>
      <w:keepNext/>
      <w:keepLines/>
      <w:spacing w:before="120" w:after="120"/>
      <w:outlineLvl w:val="0"/>
    </w:pPr>
    <w:rPr>
      <w:b/>
      <w:caps/>
      <w:szCs w:val="20"/>
      <w:u w:val="single"/>
    </w:rPr>
  </w:style>
  <w:style w:type="paragraph" w:customStyle="1" w:styleId="GOReference">
    <w:name w:val="GOReference"/>
    <w:aliases w:val="Ref"/>
    <w:basedOn w:val="Normal"/>
    <w:rPr>
      <w:b/>
    </w:rPr>
  </w:style>
  <w:style w:type="paragraph" w:customStyle="1" w:styleId="GORight">
    <w:name w:val="GORight"/>
    <w:aliases w:val="R"/>
    <w:basedOn w:val="Normal"/>
    <w:pPr>
      <w:jc w:val="right"/>
    </w:pPr>
    <w:rPr>
      <w:szCs w:val="20"/>
    </w:rPr>
  </w:style>
  <w:style w:type="paragraph" w:customStyle="1" w:styleId="GOSubHeading">
    <w:name w:val="GOSubHeading"/>
    <w:aliases w:val="SH"/>
    <w:basedOn w:val="Normal"/>
    <w:next w:val="Normal"/>
    <w:pPr>
      <w:keepNext/>
      <w:keepLines/>
      <w:spacing w:before="120" w:after="120"/>
      <w:outlineLvl w:val="1"/>
    </w:pPr>
    <w:rPr>
      <w:b/>
      <w:szCs w:val="20"/>
    </w:rPr>
  </w:style>
  <w:style w:type="paragraph" w:customStyle="1" w:styleId="GOSubHeadingNoToc">
    <w:name w:val="GOSubHeadingNoToc"/>
    <w:aliases w:val="SHNT"/>
    <w:basedOn w:val="GOSubHeading"/>
    <w:next w:val="Normal"/>
    <w:pPr>
      <w:outlineLvl w:val="9"/>
    </w:pPr>
  </w:style>
  <w:style w:type="paragraph" w:customStyle="1" w:styleId="GOTab">
    <w:name w:val="GOTab"/>
    <w:aliases w:val="T"/>
    <w:basedOn w:val="Normal"/>
    <w:pPr>
      <w:ind w:firstLine="720"/>
    </w:pPr>
    <w:rPr>
      <w:szCs w:val="20"/>
    </w:rPr>
  </w:style>
  <w:style w:type="paragraph" w:customStyle="1" w:styleId="GOTableHeading">
    <w:name w:val="GOTableHeading"/>
    <w:aliases w:val="TH"/>
    <w:basedOn w:val="Normal"/>
    <w:pPr>
      <w:keepNext/>
      <w:keepLines/>
      <w:spacing w:before="120" w:after="120"/>
      <w:jc w:val="center"/>
    </w:pPr>
    <w:rPr>
      <w:b/>
    </w:rPr>
  </w:style>
  <w:style w:type="paragraph" w:customStyle="1" w:styleId="GOTableText">
    <w:name w:val="GOTableText"/>
    <w:aliases w:val="TT"/>
    <w:basedOn w:val="Normal"/>
    <w:pPr>
      <w:spacing w:before="60" w:after="60"/>
    </w:pPr>
  </w:style>
  <w:style w:type="paragraph" w:styleId="Header">
    <w:name w:val="header"/>
    <w:basedOn w:val="Normal"/>
    <w:pPr>
      <w:spacing w:after="0"/>
    </w:pPr>
  </w:style>
  <w:style w:type="paragraph" w:customStyle="1" w:styleId="HeaderLabel">
    <w:name w:val="HeaderLabel"/>
    <w:pPr>
      <w:spacing w:after="80"/>
    </w:pPr>
    <w:rPr>
      <w:rFonts w:ascii="Arial" w:hAnsi="Arial"/>
      <w:sz w:val="16"/>
      <w:lang w:eastAsia="en-US"/>
    </w:rPr>
  </w:style>
  <w:style w:type="paragraph" w:customStyle="1" w:styleId="HeaderPageNum">
    <w:name w:val="HeaderPageNum"/>
    <w:basedOn w:val="HeaderText"/>
    <w:pPr>
      <w:jc w:val="right"/>
    </w:pPr>
  </w:style>
  <w:style w:type="paragraph" w:customStyle="1" w:styleId="HeaderPolicyno">
    <w:name w:val="HeaderPolicy no."/>
    <w:basedOn w:val="HeaderText"/>
    <w:pPr>
      <w:spacing w:after="0"/>
      <w:jc w:val="right"/>
    </w:pPr>
  </w:style>
  <w:style w:type="paragraph" w:customStyle="1" w:styleId="HeaderSection">
    <w:name w:val="HeaderSection"/>
    <w:basedOn w:val="HeaderText"/>
    <w:rPr>
      <w:kern w:val="24"/>
    </w:rPr>
  </w:style>
  <w:style w:type="paragraph" w:customStyle="1" w:styleId="HeaderText">
    <w:name w:val="HeaderText"/>
    <w:pPr>
      <w:spacing w:after="80"/>
    </w:pPr>
    <w:rPr>
      <w:rFonts w:ascii="Arial" w:hAnsi="Arial"/>
      <w:sz w:val="24"/>
      <w:lang w:eastAsia="en-US"/>
    </w:rPr>
  </w:style>
  <w:style w:type="paragraph" w:customStyle="1" w:styleId="HeaderTitleEven">
    <w:name w:val="HeaderTitle Even"/>
    <w:basedOn w:val="Normal"/>
    <w:pPr>
      <w:spacing w:after="0"/>
      <w:ind w:left="1296"/>
      <w:jc w:val="center"/>
    </w:pPr>
    <w:rPr>
      <w:b/>
      <w:caps/>
      <w:kern w:val="24"/>
      <w:szCs w:val="20"/>
    </w:rPr>
  </w:style>
  <w:style w:type="paragraph" w:customStyle="1" w:styleId="HeaderTitleOdd">
    <w:name w:val="HeaderTitle Odd"/>
    <w:basedOn w:val="Normal"/>
    <w:pPr>
      <w:spacing w:after="0"/>
      <w:jc w:val="center"/>
    </w:pPr>
    <w:rPr>
      <w:b/>
      <w:caps/>
      <w:kern w:val="24"/>
      <w:szCs w:val="20"/>
    </w:rPr>
  </w:style>
  <w:style w:type="paragraph" w:customStyle="1" w:styleId="ManualNumL1">
    <w:name w:val="Manual Num L1"/>
    <w:aliases w:val="L1"/>
    <w:basedOn w:val="Normal"/>
    <w:pPr>
      <w:numPr>
        <w:numId w:val="9"/>
      </w:numPr>
    </w:pPr>
  </w:style>
  <w:style w:type="paragraph" w:customStyle="1" w:styleId="ManualNumL2">
    <w:name w:val="Manual Num L2"/>
    <w:aliases w:val="L2"/>
    <w:basedOn w:val="Normal"/>
    <w:pPr>
      <w:numPr>
        <w:ilvl w:val="1"/>
        <w:numId w:val="9"/>
      </w:numPr>
    </w:pPr>
  </w:style>
  <w:style w:type="paragraph" w:customStyle="1" w:styleId="ManualNumL3">
    <w:name w:val="Manual Num L3"/>
    <w:aliases w:val="L3"/>
    <w:basedOn w:val="Normal"/>
    <w:pPr>
      <w:numPr>
        <w:ilvl w:val="2"/>
        <w:numId w:val="9"/>
      </w:numPr>
    </w:pPr>
  </w:style>
  <w:style w:type="paragraph" w:customStyle="1" w:styleId="ManualNumL4">
    <w:name w:val="Manual Num L4"/>
    <w:aliases w:val="L4"/>
    <w:basedOn w:val="Normal"/>
    <w:pPr>
      <w:numPr>
        <w:ilvl w:val="3"/>
        <w:numId w:val="9"/>
      </w:numPr>
    </w:pPr>
  </w:style>
  <w:style w:type="paragraph" w:customStyle="1" w:styleId="ManualNumL5">
    <w:name w:val="Manual Num L5"/>
    <w:aliases w:val="L5"/>
    <w:basedOn w:val="Normal"/>
    <w:pPr>
      <w:numPr>
        <w:ilvl w:val="4"/>
        <w:numId w:val="9"/>
      </w:numPr>
    </w:pPr>
  </w:style>
  <w:style w:type="paragraph" w:customStyle="1" w:styleId="Note">
    <w:name w:val="Note"/>
    <w:basedOn w:val="Normal"/>
    <w:pPr>
      <w:ind w:left="1080" w:hanging="1080"/>
    </w:pPr>
    <w:rPr>
      <w:bCs/>
    </w:rPr>
  </w:style>
  <w:style w:type="character" w:styleId="PageNumber">
    <w:name w:val="page number"/>
    <w:basedOn w:val="DefaultParagraphFont"/>
  </w:style>
  <w:style w:type="paragraph" w:customStyle="1" w:styleId="Plain">
    <w:name w:val="Plain"/>
    <w:basedOn w:val="Normal"/>
    <w:pPr>
      <w:spacing w:after="0"/>
    </w:pPr>
  </w:style>
  <w:style w:type="character" w:customStyle="1" w:styleId="Prompt">
    <w:name w:val="Prompt"/>
    <w:basedOn w:val="DefaultParagraphFont"/>
    <w:rPr>
      <w:color w:val="0000FF"/>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BalloonText">
    <w:name w:val="Balloon Text"/>
    <w:basedOn w:val="Normal"/>
    <w:link w:val="BalloonTextChar"/>
    <w:rsid w:val="00CC3CB6"/>
    <w:pPr>
      <w:spacing w:after="0"/>
    </w:pPr>
    <w:rPr>
      <w:rFonts w:ascii="Tahoma" w:hAnsi="Tahoma" w:cs="Tahoma"/>
      <w:sz w:val="16"/>
      <w:szCs w:val="16"/>
    </w:rPr>
  </w:style>
  <w:style w:type="character" w:customStyle="1" w:styleId="BalloonTextChar">
    <w:name w:val="Balloon Text Char"/>
    <w:basedOn w:val="DefaultParagraphFont"/>
    <w:link w:val="BalloonText"/>
    <w:rsid w:val="00CC3CB6"/>
    <w:rPr>
      <w:rFonts w:ascii="Tahoma" w:hAnsi="Tahoma" w:cs="Tahoma"/>
      <w:sz w:val="16"/>
      <w:szCs w:val="16"/>
      <w:lang w:eastAsia="en-US"/>
    </w:rPr>
  </w:style>
  <w:style w:type="table" w:styleId="TableGrid">
    <w:name w:val="Table Grid"/>
    <w:basedOn w:val="TableNormal"/>
    <w:rsid w:val="00845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Section">
    <w:name w:val="Policy Section"/>
    <w:basedOn w:val="Header"/>
    <w:qFormat/>
    <w:rsid w:val="0077765B"/>
    <w:pPr>
      <w:tabs>
        <w:tab w:val="center" w:pos="4680"/>
        <w:tab w:val="right" w:pos="9360"/>
      </w:tabs>
    </w:pPr>
    <w:rPr>
      <w:rFonts w:cs="Arial"/>
      <w:sz w:val="20"/>
    </w:rPr>
  </w:style>
  <w:style w:type="paragraph" w:customStyle="1" w:styleId="PolicySubject">
    <w:name w:val="Policy Subject"/>
    <w:basedOn w:val="Header"/>
    <w:qFormat/>
    <w:rsid w:val="0077765B"/>
    <w:pPr>
      <w:tabs>
        <w:tab w:val="center" w:pos="4680"/>
        <w:tab w:val="right" w:pos="9360"/>
      </w:tabs>
    </w:pPr>
    <w:rPr>
      <w:rFonts w:cs="Arial"/>
      <w:sz w:val="20"/>
    </w:rPr>
  </w:style>
  <w:style w:type="character" w:customStyle="1" w:styleId="FooterChar">
    <w:name w:val="Footer Char"/>
    <w:basedOn w:val="DefaultParagraphFont"/>
    <w:link w:val="Footer"/>
    <w:uiPriority w:val="29"/>
    <w:rsid w:val="00DE196C"/>
    <w:rPr>
      <w:rFonts w:ascii="Arial" w:hAnsi="Arial"/>
      <w:sz w:val="24"/>
      <w:szCs w:val="24"/>
      <w:lang w:eastAsia="en-US"/>
    </w:rPr>
  </w:style>
  <w:style w:type="paragraph" w:styleId="ListBullet2">
    <w:name w:val="List Bullet 2"/>
    <w:basedOn w:val="ListBullet"/>
    <w:uiPriority w:val="16"/>
    <w:qFormat/>
    <w:rsid w:val="00DE196C"/>
    <w:pPr>
      <w:numPr>
        <w:numId w:val="10"/>
      </w:numPr>
      <w:tabs>
        <w:tab w:val="num" w:pos="360"/>
      </w:tabs>
      <w:suppressAutoHyphens/>
      <w:spacing w:after="0" w:line="240" w:lineRule="exact"/>
      <w:ind w:left="907" w:hanging="187"/>
    </w:pPr>
    <w:rPr>
      <w:rFonts w:ascii="AvenirNext LT Pro Regular" w:eastAsiaTheme="minorEastAsia" w:hAnsi="AvenirNext LT Pro Regular" w:cstheme="minorBidi"/>
      <w:color w:val="1A1A1A"/>
      <w:sz w:val="18"/>
    </w:rPr>
  </w:style>
  <w:style w:type="paragraph" w:styleId="ListBullet">
    <w:name w:val="List Bullet"/>
    <w:basedOn w:val="Normal"/>
    <w:rsid w:val="00DE196C"/>
    <w:pPr>
      <w:tabs>
        <w:tab w:val="num" w:pos="360"/>
      </w:tabs>
      <w:contextualSpacing/>
    </w:pPr>
  </w:style>
  <w:style w:type="character" w:styleId="CommentReference">
    <w:name w:val="annotation reference"/>
    <w:basedOn w:val="DefaultParagraphFont"/>
    <w:rsid w:val="0008726E"/>
    <w:rPr>
      <w:sz w:val="16"/>
      <w:szCs w:val="16"/>
    </w:rPr>
  </w:style>
  <w:style w:type="paragraph" w:styleId="CommentText">
    <w:name w:val="annotation text"/>
    <w:basedOn w:val="Normal"/>
    <w:link w:val="CommentTextChar"/>
    <w:rsid w:val="0008726E"/>
    <w:rPr>
      <w:sz w:val="20"/>
      <w:szCs w:val="20"/>
    </w:rPr>
  </w:style>
  <w:style w:type="character" w:customStyle="1" w:styleId="CommentTextChar">
    <w:name w:val="Comment Text Char"/>
    <w:basedOn w:val="DefaultParagraphFont"/>
    <w:link w:val="CommentText"/>
    <w:rsid w:val="0008726E"/>
    <w:rPr>
      <w:rFonts w:ascii="Arial" w:hAnsi="Arial"/>
      <w:lang w:eastAsia="en-US"/>
    </w:rPr>
  </w:style>
  <w:style w:type="paragraph" w:styleId="CommentSubject">
    <w:name w:val="annotation subject"/>
    <w:basedOn w:val="CommentText"/>
    <w:next w:val="CommentText"/>
    <w:link w:val="CommentSubjectChar"/>
    <w:rsid w:val="0008726E"/>
    <w:rPr>
      <w:b/>
      <w:bCs/>
    </w:rPr>
  </w:style>
  <w:style w:type="character" w:customStyle="1" w:styleId="CommentSubjectChar">
    <w:name w:val="Comment Subject Char"/>
    <w:basedOn w:val="CommentTextChar"/>
    <w:link w:val="CommentSubject"/>
    <w:rsid w:val="0008726E"/>
    <w:rPr>
      <w:rFonts w:ascii="Arial" w:hAnsi="Arial"/>
      <w:b/>
      <w:bCs/>
      <w:lang w:eastAsia="en-US"/>
    </w:rPr>
  </w:style>
  <w:style w:type="paragraph" w:styleId="Revision">
    <w:name w:val="Revision"/>
    <w:hidden/>
    <w:uiPriority w:val="99"/>
    <w:semiHidden/>
    <w:rsid w:val="00416412"/>
    <w:rPr>
      <w:rFonts w:ascii="Arial" w:hAnsi="Arial"/>
      <w:sz w:val="24"/>
      <w:szCs w:val="24"/>
      <w:lang w:eastAsia="en-US"/>
    </w:rPr>
  </w:style>
  <w:style w:type="character" w:styleId="Hyperlink">
    <w:name w:val="Hyperlink"/>
    <w:basedOn w:val="DefaultParagraphFont"/>
    <w:unhideWhenUsed/>
    <w:rsid w:val="00C61118"/>
    <w:rPr>
      <w:color w:val="0000FF" w:themeColor="hyperlink"/>
      <w:u w:val="single"/>
    </w:rPr>
  </w:style>
  <w:style w:type="paragraph" w:styleId="ListParagraph">
    <w:name w:val="List Paragraph"/>
    <w:basedOn w:val="Normal"/>
    <w:uiPriority w:val="34"/>
    <w:qFormat/>
    <w:rsid w:val="008C50B6"/>
    <w:pPr>
      <w:ind w:left="720"/>
      <w:contextualSpacing/>
    </w:pPr>
  </w:style>
  <w:style w:type="paragraph" w:styleId="NormalWeb">
    <w:name w:val="Normal (Web)"/>
    <w:basedOn w:val="Normal"/>
    <w:uiPriority w:val="99"/>
    <w:unhideWhenUsed/>
    <w:rsid w:val="004F2657"/>
    <w:pPr>
      <w:spacing w:before="100" w:beforeAutospacing="1" w:after="100" w:afterAutospacing="1"/>
    </w:pPr>
    <w:rPr>
      <w:rFonts w:ascii="Times New Roman" w:hAnsi="Times New Roman"/>
      <w:lang w:val="en-US"/>
    </w:rPr>
  </w:style>
  <w:style w:type="character" w:styleId="Strong">
    <w:name w:val="Strong"/>
    <w:basedOn w:val="DefaultParagraphFont"/>
    <w:uiPriority w:val="22"/>
    <w:qFormat/>
    <w:rsid w:val="004F2657"/>
    <w:rPr>
      <w:b/>
      <w:bCs/>
    </w:rPr>
  </w:style>
  <w:style w:type="character" w:styleId="FollowedHyperlink">
    <w:name w:val="FollowedHyperlink"/>
    <w:basedOn w:val="DefaultParagraphFont"/>
    <w:semiHidden/>
    <w:unhideWhenUsed/>
    <w:rsid w:val="006B30CD"/>
    <w:rPr>
      <w:color w:val="800080" w:themeColor="followedHyperlink"/>
      <w:u w:val="single"/>
    </w:rPr>
  </w:style>
  <w:style w:type="character" w:styleId="UnresolvedMention">
    <w:name w:val="Unresolved Mention"/>
    <w:basedOn w:val="DefaultParagraphFont"/>
    <w:uiPriority w:val="99"/>
    <w:semiHidden/>
    <w:unhideWhenUsed/>
    <w:rsid w:val="00196E64"/>
    <w:rPr>
      <w:color w:val="605E5C"/>
      <w:shd w:val="clear" w:color="auto" w:fill="E1DFDD"/>
    </w:rPr>
  </w:style>
  <w:style w:type="character" w:styleId="Mention">
    <w:name w:val="Mention"/>
    <w:basedOn w:val="DefaultParagraphFont"/>
    <w:uiPriority w:val="99"/>
    <w:unhideWhenUsed/>
    <w:rsid w:val="00290D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0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transit.com/en/connect-with-go/go-transit-inquiries-and-feedback-process" TargetMode="External"/><Relationship Id="rId18" Type="http://schemas.openxmlformats.org/officeDocument/2006/relationships/hyperlink" Target="https://www3.ohrc.on.ca/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3.ohrc.on.ca/en" TargetMode="External"/><Relationship Id="rId17" Type="http://schemas.openxmlformats.org/officeDocument/2006/relationships/hyperlink" Target="https://www.ontario.ca/laws/statute/90b0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ntario.ca/page/accessibility-in-ontari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ntario.ca/page/accessibility-in-ontario"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metrolinx.com/en/contact-u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etrolinx.sharepoint.com/sites/MyLinx-BusServices/Lists/Bulletins%20%20Notices/Attachments/4882/22-251%20-%20Pet%20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essibility@metrolinx.com"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documenttasks/documenttasks1.xml><?xml version="1.0" encoding="utf-8"?>
<t:Tasks xmlns:t="http://schemas.microsoft.com/office/tasks/2019/documenttasks" xmlns:oel="http://schemas.microsoft.com/office/2019/extlst">
  <t:Task id="{477F7579-2E41-470D-8BC3-1274A0A32B21}">
    <t:Anchor>
      <t:Comment id="1261143073"/>
    </t:Anchor>
    <t:History>
      <t:Event id="{B1D75CB2-737D-4826-9329-D14B1D04C256}" time="2026-01-12T19:38:08.809Z">
        <t:Attribution userId="S::diandra.barrett@metrolinx.com::51550df0-e7fc-4b28-b855-42c3f78d3c52" userProvider="AD" userName="Diandra Barrett"/>
        <t:Anchor>
          <t:Comment id="1261143073"/>
        </t:Anchor>
        <t:Create/>
      </t:Event>
      <t:Event id="{37A4BC67-F9D0-422A-99C5-6F036228A0F0}" time="2026-01-12T19:38:08.809Z">
        <t:Attribution userId="S::diandra.barrett@metrolinx.com::51550df0-e7fc-4b28-b855-42c3f78d3c52" userProvider="AD" userName="Diandra Barrett"/>
        <t:Anchor>
          <t:Comment id="1261143073"/>
        </t:Anchor>
        <t:Assign userId="S::Michael.Derbecker@metrolinx.com::55ae771b-bd44-4fdc-a7d4-f5b751754288" userProvider="AD" userName="Michael Derbecker"/>
      </t:Event>
      <t:Event id="{8CA382DC-F274-4F78-A7BF-7F8ADFB5A0A2}" time="2026-01-12T19:38:08.809Z">
        <t:Attribution userId="S::diandra.barrett@metrolinx.com::51550df0-e7fc-4b28-b855-42c3f78d3c52" userProvider="AD" userName="Diandra Barrett"/>
        <t:Anchor>
          <t:Comment id="1261143073"/>
        </t:Anchor>
        <t:SetTitle title="@Michael Derbecker where is the rest of the sentence?"/>
      </t:Event>
      <t:Event id="{17CD9C75-D5A8-4B58-888D-37B63469F1E9}" time="2026-01-12T19:47:34.818Z">
        <t:Attribution userId="S::michael.derbecker@metrolinx.com::55ae771b-bd44-4fdc-a7d4-f5b751754288" userProvider="AD" userName="Michael Derbeck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77a868-a5e9-416c-a8bd-70226f3223f8" xsi:nil="true"/>
    <lcf76f155ced4ddcb4097134ff3c332f xmlns="d40b8644-5527-4cc0-86b0-0da1849ef8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DE2D6759CF664AA13382C3D0A27FFB" ma:contentTypeVersion="15" ma:contentTypeDescription="Create a new document." ma:contentTypeScope="" ma:versionID="9a77a52bacab79480db0c1bba3a621fb">
  <xsd:schema xmlns:xsd="http://www.w3.org/2001/XMLSchema" xmlns:xs="http://www.w3.org/2001/XMLSchema" xmlns:p="http://schemas.microsoft.com/office/2006/metadata/properties" xmlns:ns2="d40b8644-5527-4cc0-86b0-0da1849ef84d" xmlns:ns3="4077a868-a5e9-416c-a8bd-70226f3223f8" targetNamespace="http://schemas.microsoft.com/office/2006/metadata/properties" ma:root="true" ma:fieldsID="ff41e68c52dd438a4f46a6e129ad91cf" ns2:_="" ns3:_="">
    <xsd:import namespace="d40b8644-5527-4cc0-86b0-0da1849ef84d"/>
    <xsd:import namespace="4077a868-a5e9-416c-a8bd-70226f3223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b8644-5527-4cc0-86b0-0da1849ef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3fa943-8e2b-4424-b7ee-0f15c88ffd0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7a868-a5e9-416c-a8bd-70226f3223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60ab9-da16-48bd-a502-e500b9ec44dc}" ma:internalName="TaxCatchAll" ma:showField="CatchAllData" ma:web="4077a868-a5e9-416c-a8bd-70226f3223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E8D67-9415-473E-8888-A5BFC59BD11D}">
  <ds:schemaRefs>
    <ds:schemaRef ds:uri="http://schemas.microsoft.com/office/2006/documentManagement/types"/>
    <ds:schemaRef ds:uri="http://purl.org/dc/dcmitype/"/>
    <ds:schemaRef ds:uri="d40b8644-5527-4cc0-86b0-0da1849ef84d"/>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metadata/properties"/>
    <ds:schemaRef ds:uri="http://www.w3.org/XML/1998/namespace"/>
    <ds:schemaRef ds:uri="4077a868-a5e9-416c-a8bd-70226f3223f8"/>
  </ds:schemaRefs>
</ds:datastoreItem>
</file>

<file path=customXml/itemProps2.xml><?xml version="1.0" encoding="utf-8"?>
<ds:datastoreItem xmlns:ds="http://schemas.openxmlformats.org/officeDocument/2006/customXml" ds:itemID="{59B6ED95-286F-47A3-8892-A906DE5B7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b8644-5527-4cc0-86b0-0da1849ef84d"/>
    <ds:schemaRef ds:uri="4077a868-a5e9-416c-a8bd-70226f322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D26FC-64CA-463F-A607-E69AFC2C848F}">
  <ds:schemaRefs>
    <ds:schemaRef ds:uri="http://schemas.microsoft.com/sharepoint/v3/contenttype/forms"/>
  </ds:schemaRefs>
</ds:datastoreItem>
</file>

<file path=customXml/itemProps4.xml><?xml version="1.0" encoding="utf-8"?>
<ds:datastoreItem xmlns:ds="http://schemas.openxmlformats.org/officeDocument/2006/customXml" ds:itemID="{CFA38735-96BC-4DBF-AEA5-8458E0A2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1816</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CO-0202-01 Service Animal Policy</vt:lpstr>
    </vt:vector>
  </TitlesOfParts>
  <Manager>Manager Accessibility &amp; AODA, Universal Design and Wayfinding</Manager>
  <Company>Metrolinx</Company>
  <LinksUpToDate>false</LinksUpToDate>
  <CharactersWithSpaces>12566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CO-0202-01 Service Animal Policy</dc:title>
  <dc:subject>Service Animal Policy</dc:subject>
  <dc:creator>Michael Derbecker - Technical Writer</dc:creator>
  <cp:keywords/>
  <dc:description>March 3, 2026</dc:description>
  <cp:lastModifiedBy>Beverly Kiez</cp:lastModifiedBy>
  <cp:revision>3</cp:revision>
  <cp:lastPrinted>2025-06-19T16:40:00Z</cp:lastPrinted>
  <dcterms:created xsi:type="dcterms:W3CDTF">2026-05-13T13:50:00Z</dcterms:created>
  <dcterms:modified xsi:type="dcterms:W3CDTF">2026-05-13T13:51:00Z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Corporate Policy Section (e.g. Employee Benefits)</vt:lpwstr>
  </property>
  <property fmtid="{D5CDD505-2E9C-101B-9397-08002B2CF9AE}" pid="3" name="Subject">
    <vt:lpwstr>Policy Topic (e.g. Self-Funded Leave of Absence) </vt:lpwstr>
  </property>
  <property fmtid="{D5CDD505-2E9C-101B-9397-08002B2CF9AE}" pid="4" name="Policy Number">
    <vt:lpwstr>XX-0000-00</vt:lpwstr>
  </property>
  <property fmtid="{D5CDD505-2E9C-101B-9397-08002B2CF9AE}" pid="5" name="Tab Name">
    <vt:lpwstr>Your Departmental Procedures</vt:lpwstr>
  </property>
  <property fmtid="{D5CDD505-2E9C-101B-9397-08002B2CF9AE}" pid="6" name="Manual Name">
    <vt:lpwstr>Division Name (e.g. Human Resources)</vt:lpwstr>
  </property>
  <property fmtid="{D5CDD505-2E9C-101B-9397-08002B2CF9AE}" pid="7" name="Manual Code">
    <vt:lpwstr>300WP</vt:lpwstr>
  </property>
  <property fmtid="{D5CDD505-2E9C-101B-9397-08002B2CF9AE}" pid="8" name="Tab Number">
    <vt:lpwstr>1</vt:lpwstr>
  </property>
  <property fmtid="{D5CDD505-2E9C-101B-9397-08002B2CF9AE}" pid="9" name="Issue Date">
    <vt:lpwstr>Month, Day, Year</vt:lpwstr>
  </property>
  <property fmtid="{D5CDD505-2E9C-101B-9397-08002B2CF9AE}" pid="10" name="ContentTypeId">
    <vt:lpwstr>0x010100FADE2D6759CF664AA13382C3D0A27FFB</vt:lpwstr>
  </property>
  <property fmtid="{D5CDD505-2E9C-101B-9397-08002B2CF9AE}" pid="11" name="RecordSeries">
    <vt:lpwstr>5;#PP-MX-2200 Directives and Operating Policies|58f5be78-7587-46f7-a1a4-47e1eb898f31</vt:lpwstr>
  </property>
  <property fmtid="{D5CDD505-2E9C-101B-9397-08002B2CF9AE}" pid="12" name="RecordStatus">
    <vt:lpwstr>2;#Active|a9ffb86d-c7b5-428e-8609-7d24484c581a</vt:lpwstr>
  </property>
  <property fmtid="{D5CDD505-2E9C-101B-9397-08002B2CF9AE}" pid="13" name="MediaServiceImageTags">
    <vt:lpwstr/>
  </property>
  <property fmtid="{D5CDD505-2E9C-101B-9397-08002B2CF9AE}" pid="14" name="TaxCatchAll">
    <vt:lpwstr>5;#PP-MX-2200 Directives and Operating Policies|58f5be78-7587-46f7-a1a4-47e1eb898f31;#2;#Active|a9ffb86d-c7b5-428e-8609-7d24484c581a</vt:lpwstr>
  </property>
  <property fmtid="{D5CDD505-2E9C-101B-9397-08002B2CF9AE}" pid="15" name="nae6283d591343e89e2143b9627a24c3">
    <vt:lpwstr>PP-MX-2200 Directives and Operating Policies|58f5be78-7587-46f7-a1a4-47e1eb898f31</vt:lpwstr>
  </property>
  <property fmtid="{D5CDD505-2E9C-101B-9397-08002B2CF9AE}" pid="16" name="b91af9aba6844d6d841e3c0c90037e95">
    <vt:lpwstr>Active|a9ffb86d-c7b5-428e-8609-7d24484c581a</vt:lpwstr>
  </property>
  <property fmtid="{D5CDD505-2E9C-101B-9397-08002B2CF9AE}" pid="17" name="GrammarlyDocumentId">
    <vt:lpwstr>0c48a596-8873-43fc-b5c8-776ee2cef929</vt:lpwstr>
  </property>
</Properties>
</file>