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6285"/>
        <w:gridCol w:w="1955"/>
        <w:gridCol w:w="310"/>
        <w:gridCol w:w="1530"/>
      </w:tblGrid>
      <w:tr w:rsidR="00C24E16" w14:paraId="26B8DE11" w14:textId="77777777" w:rsidTr="00613F81">
        <w:trPr>
          <w:trHeight w:val="541"/>
        </w:trPr>
        <w:tc>
          <w:tcPr>
            <w:tcW w:w="6285" w:type="dxa"/>
            <w:vMerge w:val="restart"/>
            <w:tcBorders>
              <w:top w:val="nil"/>
              <w:left w:val="nil"/>
              <w:right w:val="nil"/>
            </w:tcBorders>
            <w:shd w:val="clear" w:color="auto" w:fill="000000" w:themeFill="text1"/>
            <w:vAlign w:val="center"/>
          </w:tcPr>
          <w:p w14:paraId="4C5B0472" w14:textId="77777777" w:rsidR="00C24E16" w:rsidRPr="00797FED" w:rsidRDefault="00C24E16" w:rsidP="004E71EA">
            <w:pPr>
              <w:pStyle w:val="HeaderTitleOdd"/>
              <w:ind w:left="72"/>
              <w:jc w:val="left"/>
              <w:rPr>
                <w:caps w:val="0"/>
                <w:sz w:val="28"/>
                <w:szCs w:val="28"/>
              </w:rPr>
            </w:pPr>
            <w:bookmarkStart w:id="0" w:name="_Toc516822344"/>
            <w:r>
              <w:rPr>
                <w:bCs/>
                <w:caps w:val="0"/>
                <w:sz w:val="28"/>
                <w:szCs w:val="28"/>
                <w:lang w:val="fr-CA"/>
              </w:rPr>
              <w:t>Opérations</w:t>
            </w:r>
          </w:p>
          <w:p w14:paraId="5AC678C2" w14:textId="77777777" w:rsidR="00C24E16" w:rsidRPr="006F4FBF" w:rsidRDefault="00C24E16" w:rsidP="004E71EA">
            <w:pPr>
              <w:pStyle w:val="HeaderPolicyno"/>
              <w:ind w:left="72"/>
              <w:jc w:val="left"/>
              <w:rPr>
                <w:caps/>
              </w:rPr>
            </w:pPr>
            <w:r>
              <w:rPr>
                <w:b/>
                <w:bCs/>
                <w:lang w:val="fr-CA"/>
              </w:rPr>
              <w:t xml:space="preserve">Expérience client </w:t>
            </w:r>
          </w:p>
        </w:tc>
        <w:tc>
          <w:tcPr>
            <w:tcW w:w="2265" w:type="dxa"/>
            <w:gridSpan w:val="2"/>
            <w:tcBorders>
              <w:top w:val="nil"/>
              <w:left w:val="nil"/>
              <w:bottom w:val="nil"/>
              <w:right w:val="nil"/>
            </w:tcBorders>
            <w:vAlign w:val="center"/>
          </w:tcPr>
          <w:p w14:paraId="0B13812C" w14:textId="77777777" w:rsidR="00C24E16" w:rsidRPr="006F4FBF" w:rsidRDefault="00C24E16" w:rsidP="004E71EA">
            <w:pPr>
              <w:pStyle w:val="HeaderTitleOdd"/>
              <w:jc w:val="right"/>
              <w:rPr>
                <w:b w:val="0"/>
                <w:caps w:val="0"/>
              </w:rPr>
            </w:pPr>
            <w:r>
              <w:rPr>
                <w:b w:val="0"/>
                <w:caps w:val="0"/>
                <w:sz w:val="20"/>
                <w:lang w:val="fr-CA"/>
              </w:rPr>
              <w:t xml:space="preserve">Numéro de politique </w:t>
            </w:r>
          </w:p>
        </w:tc>
        <w:tc>
          <w:tcPr>
            <w:tcW w:w="1530" w:type="dxa"/>
            <w:tcBorders>
              <w:top w:val="nil"/>
              <w:left w:val="nil"/>
              <w:bottom w:val="nil"/>
              <w:right w:val="nil"/>
            </w:tcBorders>
            <w:vAlign w:val="center"/>
          </w:tcPr>
          <w:p w14:paraId="064F2E88" w14:textId="77777777" w:rsidR="00C24E16" w:rsidRPr="006F4FBF" w:rsidRDefault="00C24E16" w:rsidP="004E71EA">
            <w:pPr>
              <w:pStyle w:val="HeaderPolicyno"/>
              <w:rPr>
                <w:b/>
                <w:bCs/>
              </w:rPr>
            </w:pPr>
            <w:r>
              <w:rPr>
                <w:b/>
                <w:bCs/>
                <w:lang w:val="fr-CA"/>
              </w:rPr>
              <w:t>CO-0202-01</w:t>
            </w:r>
          </w:p>
        </w:tc>
      </w:tr>
      <w:tr w:rsidR="00C24E16" w14:paraId="34EA3DAB" w14:textId="77777777" w:rsidTr="00C24E16">
        <w:trPr>
          <w:trHeight w:val="432"/>
        </w:trPr>
        <w:tc>
          <w:tcPr>
            <w:tcW w:w="6285" w:type="dxa"/>
            <w:vMerge/>
            <w:shd w:val="clear" w:color="auto" w:fill="000000" w:themeFill="text1"/>
            <w:vAlign w:val="center"/>
          </w:tcPr>
          <w:p w14:paraId="1D2BF0AB" w14:textId="77777777" w:rsidR="00C24E16" w:rsidRPr="00EB075B" w:rsidRDefault="00C24E16" w:rsidP="004E71EA">
            <w:pPr>
              <w:pStyle w:val="HeaderPolicyno"/>
              <w:ind w:left="72"/>
              <w:jc w:val="left"/>
              <w:rPr>
                <w:b/>
              </w:rPr>
            </w:pPr>
          </w:p>
        </w:tc>
        <w:tc>
          <w:tcPr>
            <w:tcW w:w="1955" w:type="dxa"/>
            <w:tcBorders>
              <w:top w:val="nil"/>
              <w:left w:val="nil"/>
              <w:bottom w:val="nil"/>
              <w:right w:val="nil"/>
            </w:tcBorders>
            <w:vAlign w:val="center"/>
          </w:tcPr>
          <w:p w14:paraId="39BC9654" w14:textId="77777777" w:rsidR="00C24E16" w:rsidRPr="00EB075B" w:rsidRDefault="00C24E16" w:rsidP="004E71EA">
            <w:pPr>
              <w:pStyle w:val="HeaderPolicyno"/>
              <w:jc w:val="left"/>
              <w:rPr>
                <w:b/>
              </w:rPr>
            </w:pPr>
          </w:p>
        </w:tc>
        <w:tc>
          <w:tcPr>
            <w:tcW w:w="1840" w:type="dxa"/>
            <w:gridSpan w:val="2"/>
            <w:tcBorders>
              <w:top w:val="nil"/>
              <w:left w:val="nil"/>
              <w:bottom w:val="nil"/>
              <w:right w:val="nil"/>
            </w:tcBorders>
            <w:vAlign w:val="center"/>
          </w:tcPr>
          <w:p w14:paraId="12DFF5ED" w14:textId="5567C60B" w:rsidR="00C24E16" w:rsidRDefault="00C24E16" w:rsidP="004E71EA">
            <w:pPr>
              <w:pStyle w:val="HeaderLabel"/>
              <w:jc w:val="right"/>
            </w:pPr>
            <w:r>
              <w:rPr>
                <w:lang w:val="fr-CA"/>
              </w:rPr>
              <w:t>Page </w:t>
            </w:r>
            <w:r>
              <w:rPr>
                <w:sz w:val="20"/>
                <w:lang w:val="fr-CA"/>
              </w:rPr>
              <w:fldChar w:fldCharType="begin"/>
            </w:r>
            <w:r>
              <w:rPr>
                <w:sz w:val="20"/>
                <w:lang w:val="fr-CA"/>
              </w:rPr>
              <w:instrText xml:space="preserve"> PAGE </w:instrText>
            </w:r>
            <w:r>
              <w:rPr>
                <w:sz w:val="20"/>
                <w:lang w:val="fr-CA"/>
              </w:rPr>
              <w:fldChar w:fldCharType="separate"/>
            </w:r>
            <w:r>
              <w:rPr>
                <w:sz w:val="20"/>
                <w:lang w:val="fr-CA"/>
              </w:rPr>
              <w:t>1</w:t>
            </w:r>
            <w:r>
              <w:rPr>
                <w:sz w:val="20"/>
                <w:lang w:val="fr-CA"/>
              </w:rPr>
              <w:fldChar w:fldCharType="end"/>
            </w:r>
            <w:r>
              <w:rPr>
                <w:sz w:val="20"/>
                <w:lang w:val="fr-CA"/>
              </w:rPr>
              <w:t xml:space="preserve"> de </w:t>
            </w:r>
            <w:r>
              <w:rPr>
                <w:sz w:val="20"/>
                <w:lang w:val="fr-CA"/>
              </w:rPr>
              <w:fldChar w:fldCharType="begin"/>
            </w:r>
            <w:r>
              <w:rPr>
                <w:sz w:val="20"/>
                <w:lang w:val="fr-CA"/>
              </w:rPr>
              <w:instrText xml:space="preserve"> NUMPAGES </w:instrText>
            </w:r>
            <w:r>
              <w:rPr>
                <w:sz w:val="20"/>
                <w:lang w:val="fr-CA"/>
              </w:rPr>
              <w:fldChar w:fldCharType="separate"/>
            </w:r>
            <w:r w:rsidR="00EA12BF">
              <w:rPr>
                <w:noProof/>
                <w:sz w:val="20"/>
                <w:lang w:val="fr-CA"/>
              </w:rPr>
              <w:t>7</w:t>
            </w:r>
            <w:r>
              <w:rPr>
                <w:noProof/>
                <w:sz w:val="20"/>
                <w:lang w:val="fr-CA"/>
              </w:rPr>
              <w:fldChar w:fldCharType="end"/>
            </w:r>
          </w:p>
        </w:tc>
      </w:tr>
    </w:tbl>
    <w:p w14:paraId="194CA848" w14:textId="77777777" w:rsidR="00C24E16" w:rsidRPr="00181B4B" w:rsidRDefault="00C24E16" w:rsidP="00C24E16">
      <w:pPr>
        <w:spacing w:after="0"/>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29" w:type="dxa"/>
        </w:tblCellMar>
        <w:tblLook w:val="04A0" w:firstRow="1" w:lastRow="0" w:firstColumn="1" w:lastColumn="0" w:noHBand="0" w:noVBand="1"/>
      </w:tblPr>
      <w:tblGrid>
        <w:gridCol w:w="761"/>
        <w:gridCol w:w="7230"/>
        <w:gridCol w:w="2089"/>
      </w:tblGrid>
      <w:tr w:rsidR="00C24E16" w14:paraId="5DD20EBB" w14:textId="77777777" w:rsidTr="004E71EA">
        <w:trPr>
          <w:trHeight w:val="432"/>
        </w:trPr>
        <w:tc>
          <w:tcPr>
            <w:tcW w:w="763" w:type="dxa"/>
            <w:tcBorders>
              <w:top w:val="single" w:sz="4" w:space="0" w:color="auto"/>
              <w:bottom w:val="single" w:sz="4" w:space="0" w:color="auto"/>
            </w:tcBorders>
            <w:vAlign w:val="center"/>
          </w:tcPr>
          <w:p w14:paraId="2CE09FDC" w14:textId="77777777" w:rsidR="00C24E16" w:rsidRPr="00EB075B" w:rsidRDefault="00C24E16" w:rsidP="004E71EA">
            <w:pPr>
              <w:pStyle w:val="Header"/>
              <w:rPr>
                <w:sz w:val="16"/>
              </w:rPr>
            </w:pPr>
            <w:r>
              <w:rPr>
                <w:rFonts w:cs="Arial"/>
                <w:sz w:val="16"/>
                <w:lang w:val="fr-CA"/>
              </w:rPr>
              <w:t>Section</w:t>
            </w:r>
          </w:p>
        </w:tc>
        <w:tc>
          <w:tcPr>
            <w:tcW w:w="7290" w:type="dxa"/>
            <w:tcBorders>
              <w:top w:val="single" w:sz="4" w:space="0" w:color="auto"/>
              <w:bottom w:val="single" w:sz="4" w:space="0" w:color="auto"/>
              <w:right w:val="single" w:sz="4" w:space="0" w:color="auto"/>
            </w:tcBorders>
            <w:vAlign w:val="center"/>
          </w:tcPr>
          <w:p w14:paraId="40617C42" w14:textId="77777777" w:rsidR="00C24E16" w:rsidRPr="00A97743" w:rsidRDefault="00C24E16" w:rsidP="004E71EA">
            <w:pPr>
              <w:pStyle w:val="Header"/>
              <w:rPr>
                <w:sz w:val="20"/>
                <w:szCs w:val="20"/>
              </w:rPr>
            </w:pPr>
            <w:r w:rsidRPr="00A97743">
              <w:rPr>
                <w:sz w:val="20"/>
                <w:szCs w:val="20"/>
                <w:lang w:val="fr-CA"/>
              </w:rPr>
              <w:t>Accessibilité</w:t>
            </w:r>
          </w:p>
        </w:tc>
        <w:tc>
          <w:tcPr>
            <w:tcW w:w="2099" w:type="dxa"/>
            <w:tcBorders>
              <w:top w:val="single" w:sz="4" w:space="0" w:color="auto"/>
              <w:left w:val="single" w:sz="4" w:space="0" w:color="auto"/>
            </w:tcBorders>
            <w:vAlign w:val="center"/>
          </w:tcPr>
          <w:p w14:paraId="76E8D8CC" w14:textId="77777777" w:rsidR="00C24E16" w:rsidRPr="00AF0EE0" w:rsidRDefault="00C24E16" w:rsidP="004E71EA">
            <w:pPr>
              <w:pStyle w:val="Header"/>
              <w:spacing w:before="120"/>
              <w:jc w:val="center"/>
              <w:rPr>
                <w:sz w:val="20"/>
              </w:rPr>
            </w:pPr>
            <w:r>
              <w:rPr>
                <w:rFonts w:cs="Arial"/>
                <w:sz w:val="16"/>
                <w:lang w:val="fr-CA"/>
              </w:rPr>
              <w:t>Date d’approbation actuelle</w:t>
            </w:r>
          </w:p>
        </w:tc>
      </w:tr>
      <w:tr w:rsidR="00C24E16" w14:paraId="3A9F2D30" w14:textId="77777777" w:rsidTr="004E71EA">
        <w:trPr>
          <w:trHeight w:val="432"/>
        </w:trPr>
        <w:tc>
          <w:tcPr>
            <w:tcW w:w="763" w:type="dxa"/>
            <w:tcBorders>
              <w:top w:val="single" w:sz="4" w:space="0" w:color="auto"/>
              <w:bottom w:val="single" w:sz="4" w:space="0" w:color="auto"/>
            </w:tcBorders>
          </w:tcPr>
          <w:p w14:paraId="5E8C0941" w14:textId="77777777" w:rsidR="00C24E16" w:rsidRPr="00EB075B" w:rsidRDefault="00C24E16" w:rsidP="004E71EA">
            <w:pPr>
              <w:pStyle w:val="Header"/>
              <w:spacing w:before="120"/>
              <w:rPr>
                <w:sz w:val="16"/>
              </w:rPr>
            </w:pPr>
            <w:r>
              <w:rPr>
                <w:rFonts w:cs="Arial"/>
                <w:sz w:val="16"/>
                <w:lang w:val="fr-CA"/>
              </w:rPr>
              <w:t>Objet</w:t>
            </w:r>
          </w:p>
        </w:tc>
        <w:tc>
          <w:tcPr>
            <w:tcW w:w="7290" w:type="dxa"/>
            <w:tcBorders>
              <w:top w:val="single" w:sz="4" w:space="0" w:color="auto"/>
              <w:bottom w:val="single" w:sz="4" w:space="0" w:color="auto"/>
              <w:right w:val="single" w:sz="4" w:space="0" w:color="auto"/>
            </w:tcBorders>
          </w:tcPr>
          <w:p w14:paraId="3D4BDCFA" w14:textId="77777777" w:rsidR="00C24E16" w:rsidRPr="006E496C" w:rsidRDefault="00C24E16" w:rsidP="004E71EA">
            <w:pPr>
              <w:pStyle w:val="Header"/>
              <w:spacing w:before="80"/>
              <w:rPr>
                <w:lang w:val="fr-CA"/>
              </w:rPr>
            </w:pPr>
            <w:r>
              <w:rPr>
                <w:sz w:val="20"/>
                <w:lang w:val="fr-CA"/>
              </w:rPr>
              <w:t xml:space="preserve">Politique sur les animaux d’assistance </w:t>
            </w:r>
          </w:p>
        </w:tc>
        <w:tc>
          <w:tcPr>
            <w:tcW w:w="2099" w:type="dxa"/>
            <w:tcBorders>
              <w:left w:val="single" w:sz="4" w:space="0" w:color="auto"/>
              <w:bottom w:val="single" w:sz="4" w:space="0" w:color="auto"/>
            </w:tcBorders>
            <w:vAlign w:val="center"/>
          </w:tcPr>
          <w:p w14:paraId="22693EE9" w14:textId="2A892336" w:rsidR="00C24E16" w:rsidRPr="00AF0EE0" w:rsidRDefault="00C24E16" w:rsidP="004E71EA">
            <w:pPr>
              <w:pStyle w:val="Header"/>
              <w:jc w:val="center"/>
              <w:rPr>
                <w:sz w:val="20"/>
              </w:rPr>
            </w:pPr>
            <w:r w:rsidRPr="00C24E16">
              <w:rPr>
                <w:sz w:val="20"/>
              </w:rPr>
              <w:t>Le 3 mars 2026</w:t>
            </w:r>
          </w:p>
        </w:tc>
      </w:tr>
    </w:tbl>
    <w:p w14:paraId="07955B4A" w14:textId="77777777" w:rsidR="00C24E16" w:rsidRDefault="00C24E16" w:rsidP="00C24E16">
      <w:pPr>
        <w:pStyle w:val="Header"/>
      </w:pPr>
    </w:p>
    <w:bookmarkEnd w:id="0"/>
    <w:p w14:paraId="6C529F84" w14:textId="77777777" w:rsidR="007F0B55" w:rsidRDefault="00155D69" w:rsidP="00240717">
      <w:pPr>
        <w:pStyle w:val="Heading4"/>
        <w:spacing w:before="0" w:after="120"/>
      </w:pPr>
      <w:r>
        <w:rPr>
          <w:lang w:val="fr-CA"/>
        </w:rPr>
        <w:t>OBJET</w:t>
      </w:r>
    </w:p>
    <w:p w14:paraId="38BE84DD" w14:textId="77777777" w:rsidR="007F0B55" w:rsidRPr="00183B38" w:rsidRDefault="00155D69" w:rsidP="00593BB7">
      <w:pPr>
        <w:pStyle w:val="Note"/>
        <w:ind w:left="0" w:firstLine="0"/>
        <w:rPr>
          <w:lang w:val="fr-CA"/>
        </w:rPr>
      </w:pPr>
      <w:r>
        <w:rPr>
          <w:bCs w:val="0"/>
          <w:lang w:val="fr-CA"/>
        </w:rPr>
        <w:t>L’objectif de la présente politique est d’établir des lignes directrices et des exigences concernant les clients accompagnés d’un animal d’assistance qui voyagent à bord des véhicules de Metrolinx ou se rendent dans les installations de Metrolinx. Elle vise à réduire les situations pouvant entraîner des risques liés à un manque de clarté dans les consignes données au personnel et à offrir une expérience client positive.</w:t>
      </w:r>
    </w:p>
    <w:p w14:paraId="7FFBDA23" w14:textId="77777777" w:rsidR="006B4960" w:rsidRPr="00183B38" w:rsidRDefault="00155D69" w:rsidP="00D469D5">
      <w:pPr>
        <w:pStyle w:val="Heading4"/>
        <w:spacing w:before="360" w:after="120"/>
        <w:rPr>
          <w:caps w:val="0"/>
          <w:lang w:val="fr-CA"/>
        </w:rPr>
      </w:pPr>
      <w:r>
        <w:rPr>
          <w:lang w:val="fr-CA"/>
        </w:rPr>
        <w:t>DÉCLARATION DE POLITIQUE</w:t>
      </w:r>
    </w:p>
    <w:p w14:paraId="7BEC7855" w14:textId="77777777" w:rsidR="00C61118" w:rsidRPr="00183B38" w:rsidRDefault="00155D69" w:rsidP="00C61118">
      <w:pPr>
        <w:rPr>
          <w:lang w:val="fr-CA"/>
        </w:rPr>
      </w:pPr>
      <w:r>
        <w:rPr>
          <w:lang w:val="fr-CA"/>
        </w:rPr>
        <w:t xml:space="preserve">Metrolinx s’engage à offrir un environnement accessible et inclusif pour tous les clients. Les animaux d’assistance sont les bienvenus sur tous les transports et propriétés de Metrolinx, conformément à la </w:t>
      </w:r>
      <w:hyperlink r:id="rId11">
        <w:r w:rsidR="00C61118">
          <w:rPr>
            <w:rStyle w:val="Hyperlink"/>
            <w:i/>
            <w:iCs/>
            <w:u w:val="none"/>
            <w:lang w:val="fr-CA"/>
          </w:rPr>
          <w:t>Loi de 2005 sur l’accessibilité pour les personnes handicapées de l’Ontario</w:t>
        </w:r>
      </w:hyperlink>
      <w:r>
        <w:rPr>
          <w:lang w:val="fr-CA"/>
        </w:rPr>
        <w:t xml:space="preserve"> (LAPHO), au </w:t>
      </w:r>
      <w:hyperlink r:id="rId12">
        <w:r w:rsidR="00C61118">
          <w:rPr>
            <w:rStyle w:val="Hyperlink"/>
            <w:i/>
            <w:iCs/>
            <w:u w:val="none"/>
            <w:lang w:val="fr-CA"/>
          </w:rPr>
          <w:t>Code des droits de la personne</w:t>
        </w:r>
        <w:r w:rsidR="00C61118">
          <w:rPr>
            <w:rStyle w:val="Hyperlink"/>
            <w:u w:val="none"/>
            <w:lang w:val="fr-CA"/>
          </w:rPr>
          <w:t xml:space="preserve"> de l’Ontario</w:t>
        </w:r>
      </w:hyperlink>
      <w:r>
        <w:rPr>
          <w:lang w:val="fr-CA"/>
        </w:rPr>
        <w:t xml:space="preserve"> (le Code) et à la </w:t>
      </w:r>
      <w:r>
        <w:rPr>
          <w:i/>
          <w:iCs/>
          <w:lang w:val="fr-CA"/>
        </w:rPr>
        <w:t>Loi sur les droits des personnes aveugles</w:t>
      </w:r>
      <w:r>
        <w:rPr>
          <w:lang w:val="fr-CA"/>
        </w:rPr>
        <w:t xml:space="preserve">. </w:t>
      </w:r>
    </w:p>
    <w:p w14:paraId="41FB6917" w14:textId="77777777" w:rsidR="00C24E16" w:rsidRDefault="00155D69" w:rsidP="00571F26">
      <w:pPr>
        <w:rPr>
          <w:lang w:val="fr-CA"/>
        </w:rPr>
      </w:pPr>
      <w:r>
        <w:rPr>
          <w:lang w:val="fr-CA"/>
        </w:rPr>
        <w:t xml:space="preserve">La présente politique est accessible au public afin d’assurer la transparence et l’uniformité dans l’application à travers GO Transit, UP Express et les autres services de Metrolinx. </w:t>
      </w:r>
    </w:p>
    <w:p w14:paraId="39D14C64" w14:textId="24A29CEF" w:rsidR="00571F26" w:rsidRPr="00183B38" w:rsidRDefault="00155D69" w:rsidP="00C24E16">
      <w:pPr>
        <w:ind w:left="1800" w:hanging="1440"/>
        <w:rPr>
          <w:lang w:val="fr-CA"/>
        </w:rPr>
      </w:pPr>
      <w:r>
        <w:rPr>
          <w:b/>
          <w:bCs/>
          <w:lang w:val="fr-CA"/>
        </w:rPr>
        <w:t>Remarque :</w:t>
      </w:r>
      <w:r>
        <w:rPr>
          <w:lang w:val="fr-CA"/>
        </w:rPr>
        <w:t xml:space="preserve"> </w:t>
      </w:r>
      <w:r w:rsidR="00C24E16">
        <w:rPr>
          <w:lang w:val="fr-CA"/>
        </w:rPr>
        <w:tab/>
      </w:r>
      <w:r>
        <w:rPr>
          <w:lang w:val="fr-CA"/>
        </w:rPr>
        <w:t>La présente politique n’est annulée par aucune des exigences de la Politique de Metrolinx relative aux animaux de compagnie.</w:t>
      </w:r>
      <w:r w:rsidR="00C24E16">
        <w:rPr>
          <w:lang w:val="fr-CA"/>
        </w:rPr>
        <w:t xml:space="preserve"> </w:t>
      </w:r>
      <w:r>
        <w:rPr>
          <w:lang w:val="fr-CA"/>
        </w:rPr>
        <w:t>(Date d’émission : 27 octobre 2022) ou Règlement n</w:t>
      </w:r>
      <w:r>
        <w:rPr>
          <w:vertAlign w:val="superscript"/>
          <w:lang w:val="fr-CA"/>
        </w:rPr>
        <w:t>o</w:t>
      </w:r>
      <w:r>
        <w:rPr>
          <w:lang w:val="fr-CA"/>
        </w:rPr>
        <w:t> 2 de Metrolinx. (</w:t>
      </w:r>
      <w:proofErr w:type="gramStart"/>
      <w:r>
        <w:rPr>
          <w:lang w:val="fr-CA"/>
        </w:rPr>
        <w:t>article</w:t>
      </w:r>
      <w:proofErr w:type="gramEnd"/>
      <w:r>
        <w:rPr>
          <w:lang w:val="fr-CA"/>
        </w:rPr>
        <w:t> 3).</w:t>
      </w:r>
    </w:p>
    <w:p w14:paraId="2D6C6761" w14:textId="77777777" w:rsidR="00125DFB" w:rsidRPr="00183B38" w:rsidRDefault="00155D69" w:rsidP="00DC2569">
      <w:pPr>
        <w:pStyle w:val="Heading4"/>
        <w:spacing w:before="360" w:after="120"/>
        <w:rPr>
          <w:lang w:val="fr-CA"/>
        </w:rPr>
      </w:pPr>
      <w:r>
        <w:rPr>
          <w:caps w:val="0"/>
          <w:lang w:val="fr-CA"/>
        </w:rPr>
        <w:t xml:space="preserve">PORTÉE ET APPLICATION </w:t>
      </w:r>
    </w:p>
    <w:p w14:paraId="690E1342" w14:textId="77777777" w:rsidR="00C24E16" w:rsidRDefault="00155D69" w:rsidP="000C5173">
      <w:pPr>
        <w:pStyle w:val="Note"/>
        <w:ind w:left="0" w:firstLine="0"/>
        <w:rPr>
          <w:bCs w:val="0"/>
          <w:lang w:val="fr-CA"/>
        </w:rPr>
      </w:pPr>
      <w:r>
        <w:rPr>
          <w:bCs w:val="0"/>
          <w:lang w:val="fr-CA"/>
        </w:rPr>
        <w:t>La présente politique s’applique à l’ensemble du personnel et aux entrepreneurs de Metrolinx qui sont en contact avec les clients, ainsi qu’à tous les clients voyageant à bord des services de Metrolinx accompagnés d’animaux d’assistance sur l’ensemble des installations de Metrolinx.</w:t>
      </w:r>
    </w:p>
    <w:p w14:paraId="32C6BFEB" w14:textId="7C581862" w:rsidR="000C5173" w:rsidRPr="00183B38" w:rsidRDefault="00155D69" w:rsidP="00C24E16">
      <w:pPr>
        <w:pStyle w:val="Note"/>
        <w:ind w:left="1800" w:hanging="1440"/>
        <w:rPr>
          <w:lang w:val="fr-CA"/>
        </w:rPr>
      </w:pPr>
      <w:r>
        <w:rPr>
          <w:b/>
          <w:lang w:val="fr-CA"/>
        </w:rPr>
        <w:t>Remarque :</w:t>
      </w:r>
      <w:r w:rsidR="00C24E16">
        <w:rPr>
          <w:bCs w:val="0"/>
          <w:lang w:val="fr-CA"/>
        </w:rPr>
        <w:tab/>
      </w:r>
      <w:r>
        <w:rPr>
          <w:bCs w:val="0"/>
          <w:lang w:val="fr-CA"/>
        </w:rPr>
        <w:t>« Propriété » désigne toute gare, installation ou tout véhicule de GO Transit ou UP Express géré par Metrolinx auquel un client peut accéder au cours de son voyage.</w:t>
      </w:r>
    </w:p>
    <w:p w14:paraId="2B09BDAD" w14:textId="77777777" w:rsidR="00C24E16" w:rsidRDefault="00155D69" w:rsidP="00707AD9">
      <w:pPr>
        <w:rPr>
          <w:lang w:val="fr-CA"/>
        </w:rPr>
      </w:pPr>
      <w:r>
        <w:rPr>
          <w:lang w:val="fr-CA"/>
        </w:rPr>
        <w:t>Le personnel de Metrolinx doit respecter cette politique lorsqu’il s’occupe de clients accompagnés d’un animal d’assistance. Elle s’applique au personnel syndiqué et non syndiqué. Le personnel et les unités d’affaires de Metrolinx sont responsables de respecter les obligations relatives aux animaux d’assistance lors de la fourniture de biens, de services et d’accès aux installations de Metrolinx, y compris GO Transit, UP Express et tous les dispositifs PRESTO.</w:t>
      </w:r>
    </w:p>
    <w:p w14:paraId="79BCFCF9" w14:textId="77777777" w:rsidR="00907103" w:rsidRDefault="00907103">
      <w:pPr>
        <w:spacing w:after="0"/>
        <w:rPr>
          <w:lang w:val="fr-CA"/>
        </w:rPr>
      </w:pPr>
      <w:r>
        <w:rPr>
          <w:lang w:val="fr-CA"/>
        </w:rPr>
        <w:br w:type="page"/>
      </w:r>
    </w:p>
    <w:p w14:paraId="0DBD5F62" w14:textId="5834B97E" w:rsidR="000C5173" w:rsidRPr="00C24E16" w:rsidRDefault="00155D69" w:rsidP="00C24E16">
      <w:pPr>
        <w:spacing w:after="120"/>
        <w:rPr>
          <w:lang w:val="fr-CA"/>
        </w:rPr>
      </w:pPr>
      <w:r>
        <w:rPr>
          <w:lang w:val="fr-CA"/>
        </w:rPr>
        <w:lastRenderedPageBreak/>
        <w:t>La présente politique, conformément au Code, doit :</w:t>
      </w:r>
    </w:p>
    <w:p w14:paraId="3500F13E" w14:textId="77777777" w:rsidR="000C5173" w:rsidRPr="00183B38" w:rsidRDefault="00155D69" w:rsidP="00707AD9">
      <w:pPr>
        <w:pStyle w:val="Note"/>
        <w:numPr>
          <w:ilvl w:val="0"/>
          <w:numId w:val="14"/>
        </w:numPr>
        <w:spacing w:after="120"/>
        <w:rPr>
          <w:lang w:val="fr-CA"/>
        </w:rPr>
      </w:pPr>
      <w:r>
        <w:rPr>
          <w:bCs w:val="0"/>
          <w:lang w:val="fr-CA"/>
        </w:rPr>
        <w:t>Interdire le refus de service à une personne handicapée en raison de son animal d’assistance.</w:t>
      </w:r>
    </w:p>
    <w:p w14:paraId="0033ABAC" w14:textId="77777777" w:rsidR="000C5173" w:rsidRPr="00183B38" w:rsidRDefault="00155D69" w:rsidP="00C24E16">
      <w:pPr>
        <w:pStyle w:val="Note"/>
        <w:numPr>
          <w:ilvl w:val="0"/>
          <w:numId w:val="14"/>
        </w:numPr>
        <w:spacing w:after="120"/>
        <w:rPr>
          <w:lang w:val="fr-CA"/>
        </w:rPr>
      </w:pPr>
      <w:r>
        <w:rPr>
          <w:bCs w:val="0"/>
          <w:lang w:val="fr-CA"/>
        </w:rPr>
        <w:t>Prévaloir sur d’autres règles (p. ex. une politique « sans animaux » dans un bâtiment privé ou public) en cas de conflit.</w:t>
      </w:r>
    </w:p>
    <w:p w14:paraId="00F88100" w14:textId="276752FB" w:rsidR="00C24E16" w:rsidRDefault="00155D69" w:rsidP="00C24E16">
      <w:pPr>
        <w:pStyle w:val="Note"/>
        <w:ind w:left="2160" w:hanging="1440"/>
        <w:rPr>
          <w:bCs w:val="0"/>
          <w:lang w:val="fr-CA"/>
        </w:rPr>
      </w:pPr>
      <w:r>
        <w:rPr>
          <w:b/>
          <w:lang w:val="fr-CA"/>
        </w:rPr>
        <w:t>Remarque :</w:t>
      </w:r>
      <w:r w:rsidR="00C24E16">
        <w:rPr>
          <w:bCs w:val="0"/>
          <w:lang w:val="fr-CA"/>
        </w:rPr>
        <w:tab/>
      </w:r>
      <w:r>
        <w:rPr>
          <w:bCs w:val="0"/>
          <w:lang w:val="fr-CA"/>
        </w:rPr>
        <w:t>Dans des circonstances limitées, il peut être impossible d’accueillir un animal d’assistance</w:t>
      </w:r>
      <w:r w:rsidR="008A4766">
        <w:rPr>
          <w:bCs w:val="0"/>
          <w:lang w:val="fr-CA"/>
        </w:rPr>
        <w:t xml:space="preserve"> </w:t>
      </w:r>
      <w:r>
        <w:rPr>
          <w:bCs w:val="0"/>
          <w:lang w:val="fr-CA"/>
        </w:rPr>
        <w:t>pour des raisons de santé et de sécurité (p. ex. si l’animal d’assistance ne peut pas être</w:t>
      </w:r>
      <w:r w:rsidR="00183B38">
        <w:rPr>
          <w:bCs w:val="0"/>
          <w:lang w:val="fr-CA"/>
        </w:rPr>
        <w:t xml:space="preserve"> </w:t>
      </w:r>
      <w:r>
        <w:rPr>
          <w:bCs w:val="0"/>
          <w:lang w:val="fr-CA"/>
        </w:rPr>
        <w:t xml:space="preserve">géré ou maîtrisé en toute sécurité, voir </w:t>
      </w:r>
      <w:hyperlink w:anchor="GeneralRules" w:history="1">
        <w:r w:rsidR="00382360">
          <w:rPr>
            <w:rStyle w:val="Hyperlink"/>
            <w:bCs w:val="0"/>
            <w:u w:val="none"/>
            <w:lang w:val="fr-CA"/>
          </w:rPr>
          <w:t>Règles générales pour</w:t>
        </w:r>
        <w:r w:rsidR="00C24E16">
          <w:rPr>
            <w:rStyle w:val="Hyperlink"/>
            <w:bCs w:val="0"/>
            <w:u w:val="none"/>
            <w:lang w:val="fr-CA"/>
          </w:rPr>
          <w:t xml:space="preserve"> </w:t>
        </w:r>
        <w:r w:rsidR="00382360">
          <w:rPr>
            <w:rStyle w:val="Hyperlink"/>
            <w:bCs w:val="0"/>
            <w:u w:val="none"/>
            <w:lang w:val="fr-CA"/>
          </w:rPr>
          <w:t>voyager avec un animal d’assistance</w:t>
        </w:r>
      </w:hyperlink>
      <w:r>
        <w:rPr>
          <w:bCs w:val="0"/>
          <w:lang w:val="fr-CA"/>
        </w:rPr>
        <w:t>).</w:t>
      </w:r>
    </w:p>
    <w:p w14:paraId="594D9849" w14:textId="4B7A408D" w:rsidR="00382360" w:rsidRPr="00183B38" w:rsidRDefault="00155D69" w:rsidP="00C24E16">
      <w:pPr>
        <w:pStyle w:val="Note"/>
        <w:ind w:left="0" w:firstLine="0"/>
        <w:rPr>
          <w:lang w:val="fr-CA"/>
        </w:rPr>
      </w:pPr>
      <w:r>
        <w:rPr>
          <w:bCs w:val="0"/>
          <w:lang w:val="fr-CA"/>
        </w:rPr>
        <w:t xml:space="preserve">La politique est disponible publiquement pour garantir la transparence pour tous les clients. Les clients peuvent partager leurs commentaires concernant l’utilisation des animaux d’assistance dans les systèmes Metrolinx via la </w:t>
      </w:r>
      <w:hyperlink r:id="rId13">
        <w:r w:rsidR="00382360">
          <w:rPr>
            <w:rStyle w:val="Hyperlink"/>
            <w:bCs w:val="0"/>
            <w:u w:val="none"/>
            <w:lang w:val="fr-CA"/>
          </w:rPr>
          <w:t>page du processus de demandes et de rétroaction de GO Transit</w:t>
        </w:r>
      </w:hyperlink>
      <w:r>
        <w:rPr>
          <w:bCs w:val="0"/>
          <w:lang w:val="fr-CA"/>
        </w:rPr>
        <w:t>. </w:t>
      </w:r>
    </w:p>
    <w:p w14:paraId="10D80835" w14:textId="77777777" w:rsidR="0008726E" w:rsidRPr="00183B38" w:rsidRDefault="00155D69" w:rsidP="00DC2569">
      <w:pPr>
        <w:pStyle w:val="Heading4"/>
        <w:spacing w:before="360" w:after="120"/>
        <w:rPr>
          <w:lang w:val="fr-CA"/>
        </w:rPr>
      </w:pPr>
      <w:r>
        <w:rPr>
          <w:caps w:val="0"/>
          <w:lang w:val="fr-CA"/>
        </w:rPr>
        <w:t>DIRECTIVES SPÉCIFIQUES</w:t>
      </w:r>
    </w:p>
    <w:p w14:paraId="4ABF9964" w14:textId="77777777" w:rsidR="008C50B6" w:rsidRPr="00183B38" w:rsidRDefault="00155D69" w:rsidP="00C24E16">
      <w:pPr>
        <w:pStyle w:val="Note"/>
        <w:spacing w:after="120"/>
        <w:ind w:left="0" w:firstLine="0"/>
        <w:rPr>
          <w:lang w:val="fr-CA"/>
        </w:rPr>
      </w:pPr>
      <w:r>
        <w:rPr>
          <w:bCs w:val="0"/>
          <w:lang w:val="fr-CA"/>
        </w:rPr>
        <w:t>Les exigences et mesures suivantes doivent être effectuées conformément à la présente politique :</w:t>
      </w:r>
    </w:p>
    <w:p w14:paraId="336C7DC0" w14:textId="77777777" w:rsidR="008C50B6" w:rsidRPr="00183B38" w:rsidRDefault="00155D69" w:rsidP="00C24E16">
      <w:pPr>
        <w:pStyle w:val="Heading6"/>
        <w:spacing w:after="120"/>
        <w:rPr>
          <w:lang w:val="fr-CA"/>
        </w:rPr>
      </w:pPr>
      <w:r>
        <w:rPr>
          <w:lang w:val="fr-CA"/>
        </w:rPr>
        <w:t>1. Communications avec la clientèle : Animaux d’assistance</w:t>
      </w:r>
    </w:p>
    <w:p w14:paraId="64210238" w14:textId="77777777" w:rsidR="3CF9BE03" w:rsidRPr="00183B38" w:rsidRDefault="00155D69" w:rsidP="1969088B">
      <w:pPr>
        <w:pStyle w:val="Note"/>
        <w:numPr>
          <w:ilvl w:val="0"/>
          <w:numId w:val="12"/>
        </w:numPr>
        <w:rPr>
          <w:rFonts w:eastAsia="Arial" w:cs="Arial"/>
          <w:lang w:val="fr-CA"/>
        </w:rPr>
      </w:pPr>
      <w:r>
        <w:rPr>
          <w:rFonts w:eastAsia="Arial" w:cs="Arial"/>
          <w:bCs w:val="0"/>
          <w:lang w:val="fr-CA"/>
        </w:rPr>
        <w:t>Publication de la politique sur les animaux d’assistance de Metrolinx pour informer le personnel et les clients de l’acceptation des animaux d’assistance dans les locaux et à l’intérieur des véhicules afin d’accéder aux services de Metrolinx.</w:t>
      </w:r>
    </w:p>
    <w:p w14:paraId="615F0585" w14:textId="77777777" w:rsidR="008C50B6" w:rsidRPr="00D3279A" w:rsidRDefault="00155D69" w:rsidP="008C50B6">
      <w:pPr>
        <w:pStyle w:val="Heading6"/>
        <w:spacing w:after="120"/>
      </w:pPr>
      <w:r>
        <w:rPr>
          <w:lang w:val="fr-CA"/>
        </w:rPr>
        <w:t>2. Admissibilité des animaux d’assistance</w:t>
      </w:r>
    </w:p>
    <w:p w14:paraId="15639DBB" w14:textId="77777777" w:rsidR="50BB8733" w:rsidRPr="00183B38" w:rsidRDefault="00155D69" w:rsidP="1969088B">
      <w:pPr>
        <w:pStyle w:val="ListParagraph"/>
        <w:numPr>
          <w:ilvl w:val="0"/>
          <w:numId w:val="15"/>
        </w:numPr>
        <w:spacing w:after="120"/>
        <w:contextualSpacing w:val="0"/>
        <w:rPr>
          <w:rFonts w:eastAsia="Arial" w:cs="Arial"/>
          <w:lang w:val="fr-CA"/>
        </w:rPr>
      </w:pPr>
      <w:r>
        <w:rPr>
          <w:rFonts w:eastAsia="Arial" w:cs="Arial"/>
          <w:lang w:val="fr-CA"/>
        </w:rPr>
        <w:t>Le personnel de la station (p. ex. les ambassadeurs de la gare, les gestionnaires de service) ne doit pas restreindre illégalement l’accès aux stations et aux véhicules pour les clients voyageant avec des animaux d’assistance.</w:t>
      </w:r>
    </w:p>
    <w:p w14:paraId="7CB9909B" w14:textId="1FCC8613" w:rsidR="007F1876" w:rsidRPr="00C24E16" w:rsidRDefault="00155D69" w:rsidP="00C24E16">
      <w:pPr>
        <w:pStyle w:val="ListParagraph"/>
        <w:numPr>
          <w:ilvl w:val="0"/>
          <w:numId w:val="15"/>
        </w:numPr>
        <w:spacing w:after="120"/>
        <w:contextualSpacing w:val="0"/>
        <w:rPr>
          <w:rFonts w:eastAsia="Arial" w:cs="Arial"/>
          <w:color w:val="000000" w:themeColor="text1"/>
          <w:lang w:val="fr-CA"/>
        </w:rPr>
      </w:pPr>
      <w:r w:rsidRPr="00C24E16">
        <w:rPr>
          <w:rFonts w:eastAsia="Arial" w:cs="Arial"/>
          <w:color w:val="000000" w:themeColor="text1"/>
          <w:lang w:val="fr-CA"/>
        </w:rPr>
        <w:t>Les clients voyageant avec des animaux d’assistance sont autorisés à bord des véhicules, des propriétés et des installations de Metrolinx partout où le public est généralement autorisé, à l’exception des cas ci-dessous.</w:t>
      </w:r>
    </w:p>
    <w:p w14:paraId="75ED95BF" w14:textId="77777777" w:rsidR="50BB8733" w:rsidRPr="00183B38" w:rsidRDefault="00155D69" w:rsidP="00C24E16">
      <w:pPr>
        <w:pStyle w:val="ListParagraph"/>
        <w:numPr>
          <w:ilvl w:val="0"/>
          <w:numId w:val="15"/>
        </w:numPr>
        <w:contextualSpacing w:val="0"/>
        <w:rPr>
          <w:rFonts w:eastAsia="Arial" w:cs="Arial"/>
          <w:color w:val="000000" w:themeColor="text1"/>
          <w:lang w:val="fr-CA"/>
        </w:rPr>
      </w:pPr>
      <w:r>
        <w:rPr>
          <w:rFonts w:eastAsia="Arial" w:cs="Arial"/>
          <w:color w:val="000000" w:themeColor="text1"/>
          <w:lang w:val="fr-CA"/>
        </w:rPr>
        <w:t xml:space="preserve">Un client utilisant un animal d’assistance est autorisé à entrer dans les locaux de Metrolinx et à garder son animal avec lui, sauf s’il est exclu par la loi d’y être, ou si l’accommodement de l’animal d’assistance entraînerait une difficulté excessive. </w:t>
      </w:r>
    </w:p>
    <w:p w14:paraId="3696C1F0" w14:textId="77777777" w:rsidR="008C50B6" w:rsidRPr="00D3279A" w:rsidRDefault="00155D69" w:rsidP="008C50B6">
      <w:pPr>
        <w:pStyle w:val="Heading6"/>
        <w:spacing w:after="120"/>
      </w:pPr>
      <w:r>
        <w:rPr>
          <w:lang w:val="fr-CA"/>
        </w:rPr>
        <w:t>3. Exigences</w:t>
      </w:r>
      <w:bookmarkStart w:id="1" w:name="three_reg"/>
      <w:r>
        <w:rPr>
          <w:lang w:val="fr-CA"/>
        </w:rPr>
        <w:t xml:space="preserve"> d’identification</w:t>
      </w:r>
      <w:bookmarkEnd w:id="1"/>
    </w:p>
    <w:p w14:paraId="509AF046" w14:textId="77777777" w:rsidR="648DB51D" w:rsidRPr="00183B38" w:rsidRDefault="00155D69" w:rsidP="1969088B">
      <w:pPr>
        <w:pStyle w:val="Note"/>
        <w:numPr>
          <w:ilvl w:val="0"/>
          <w:numId w:val="12"/>
        </w:numPr>
        <w:rPr>
          <w:rFonts w:eastAsia="Arial" w:cs="Arial"/>
          <w:lang w:val="fr-CA"/>
        </w:rPr>
      </w:pPr>
      <w:r>
        <w:rPr>
          <w:rFonts w:eastAsia="Arial" w:cs="Arial"/>
          <w:bCs w:val="0"/>
          <w:lang w:val="fr-CA"/>
        </w:rPr>
        <w:t xml:space="preserve">Les clients utilisant un animal d’assistance ne sont pas tenus d’enregistrer leur besoin ou la fonction de leur animal auprès de Metrolinx pour utiliser nos services. </w:t>
      </w:r>
    </w:p>
    <w:p w14:paraId="63009055" w14:textId="77777777" w:rsidR="648DB51D" w:rsidRPr="00183B38" w:rsidRDefault="00155D69" w:rsidP="00C24E16">
      <w:pPr>
        <w:pStyle w:val="ListParagraph"/>
        <w:numPr>
          <w:ilvl w:val="0"/>
          <w:numId w:val="12"/>
        </w:numPr>
        <w:spacing w:after="120"/>
        <w:contextualSpacing w:val="0"/>
        <w:rPr>
          <w:rFonts w:eastAsia="Arial" w:cs="Arial"/>
          <w:lang w:val="fr-CA"/>
        </w:rPr>
      </w:pPr>
      <w:r>
        <w:rPr>
          <w:rFonts w:eastAsia="Arial" w:cs="Arial"/>
          <w:lang w:val="fr-CA"/>
        </w:rPr>
        <w:t>Une documentation peut être demandée par le personnel de Metrolinx lorsqu’il n’est pas évident qu’un animal est un animal d’assistance. La documentation que Metrolinx pourrait demander pourrait comprendre (sans toutefois s’y limiter) :</w:t>
      </w:r>
    </w:p>
    <w:p w14:paraId="27AE0417" w14:textId="77777777" w:rsidR="648DB51D" w:rsidRPr="00183B38" w:rsidRDefault="00155D69" w:rsidP="00C24E16">
      <w:pPr>
        <w:pStyle w:val="ListParagraph"/>
        <w:numPr>
          <w:ilvl w:val="1"/>
          <w:numId w:val="12"/>
        </w:numPr>
        <w:spacing w:after="120"/>
        <w:contextualSpacing w:val="0"/>
        <w:rPr>
          <w:rFonts w:eastAsia="Arial" w:cs="Arial"/>
          <w:lang w:val="fr-CA"/>
        </w:rPr>
      </w:pPr>
      <w:r>
        <w:rPr>
          <w:rFonts w:eastAsia="Arial" w:cs="Arial"/>
          <w:lang w:val="fr-CA"/>
        </w:rPr>
        <w:lastRenderedPageBreak/>
        <w:t xml:space="preserve">Une inscription auprès d’un organisme de services aux personnes handicapées </w:t>
      </w:r>
    </w:p>
    <w:p w14:paraId="59DFBFD2" w14:textId="77777777" w:rsidR="648DB51D" w:rsidRPr="00183B38" w:rsidRDefault="00155D69" w:rsidP="00C24E16">
      <w:pPr>
        <w:pStyle w:val="ListParagraph"/>
        <w:numPr>
          <w:ilvl w:val="1"/>
          <w:numId w:val="12"/>
        </w:numPr>
        <w:spacing w:after="120"/>
        <w:contextualSpacing w:val="0"/>
        <w:rPr>
          <w:rFonts w:eastAsia="Arial" w:cs="Arial"/>
          <w:lang w:val="fr-CA"/>
        </w:rPr>
      </w:pPr>
      <w:r>
        <w:rPr>
          <w:rFonts w:eastAsia="Arial" w:cs="Arial"/>
          <w:lang w:val="fr-CA"/>
        </w:rPr>
        <w:t xml:space="preserve">Une carte d’identité du ministère du Procureur général de l’Ontario pour les personnes aveugles qui utilisent un chien-guide. </w:t>
      </w:r>
    </w:p>
    <w:p w14:paraId="77CEB07B" w14:textId="77777777" w:rsidR="648DB51D" w:rsidRPr="00183B38" w:rsidRDefault="00155D69" w:rsidP="00C24E16">
      <w:pPr>
        <w:pStyle w:val="ListParagraph"/>
        <w:numPr>
          <w:ilvl w:val="1"/>
          <w:numId w:val="12"/>
        </w:numPr>
        <w:contextualSpacing w:val="0"/>
        <w:rPr>
          <w:rFonts w:eastAsia="Arial" w:cs="Arial"/>
          <w:lang w:val="fr-CA"/>
        </w:rPr>
      </w:pPr>
      <w:r>
        <w:rPr>
          <w:rFonts w:eastAsia="Arial" w:cs="Arial"/>
          <w:lang w:val="fr-CA"/>
        </w:rPr>
        <w:t xml:space="preserve">Une lettre de l’un des neuf professionnels de la santé identifiés dans la LAPHO.  </w:t>
      </w:r>
    </w:p>
    <w:p w14:paraId="166B7B91" w14:textId="77777777" w:rsidR="008C50B6" w:rsidRPr="00D3279A" w:rsidRDefault="00155D69" w:rsidP="008C50B6">
      <w:pPr>
        <w:pStyle w:val="Heading6"/>
        <w:spacing w:after="120"/>
      </w:pPr>
      <w:r>
        <w:rPr>
          <w:lang w:val="fr-CA"/>
        </w:rPr>
        <w:t xml:space="preserve">4. Formation du personnel </w:t>
      </w:r>
    </w:p>
    <w:p w14:paraId="347020AD" w14:textId="77777777" w:rsidR="006A0DCA" w:rsidRPr="00183B38" w:rsidRDefault="00155D69" w:rsidP="00CE40BF">
      <w:pPr>
        <w:pStyle w:val="ListParagraph"/>
        <w:numPr>
          <w:ilvl w:val="0"/>
          <w:numId w:val="12"/>
        </w:numPr>
        <w:ind w:left="774"/>
        <w:rPr>
          <w:lang w:val="fr-CA"/>
        </w:rPr>
      </w:pPr>
      <w:r>
        <w:rPr>
          <w:lang w:val="fr-CA"/>
        </w:rPr>
        <w:t xml:space="preserve">La formation sera dispensée au personnel selon les besoins ou dans le cadre du nouveau processus d’intégration des employés. </w:t>
      </w:r>
    </w:p>
    <w:p w14:paraId="4CA24CC3" w14:textId="41BFAD9B" w:rsidR="775E2D7B" w:rsidRDefault="00155D69" w:rsidP="4EB1560C">
      <w:pPr>
        <w:pStyle w:val="Heading6"/>
        <w:spacing w:after="120"/>
      </w:pPr>
      <w:r>
        <w:rPr>
          <w:lang w:val="fr-CA"/>
        </w:rPr>
        <w:t>5. Disponibilité des politiques</w:t>
      </w:r>
    </w:p>
    <w:p w14:paraId="0967AC5C" w14:textId="77777777" w:rsidR="2E6A0689" w:rsidRPr="00183B38" w:rsidRDefault="00155D69" w:rsidP="00C24E16">
      <w:pPr>
        <w:pStyle w:val="Note"/>
        <w:numPr>
          <w:ilvl w:val="0"/>
          <w:numId w:val="12"/>
        </w:numPr>
        <w:spacing w:after="120"/>
        <w:rPr>
          <w:rFonts w:eastAsia="Arial" w:cs="Arial"/>
          <w:lang w:val="fr-CA"/>
        </w:rPr>
      </w:pPr>
      <w:r>
        <w:rPr>
          <w:rFonts w:eastAsia="Arial" w:cs="Arial"/>
          <w:bCs w:val="0"/>
          <w:lang w:val="fr-CA"/>
        </w:rPr>
        <w:t>La présente politique est disponible en français et en anglais.</w:t>
      </w:r>
    </w:p>
    <w:p w14:paraId="694BFEE4" w14:textId="77777777" w:rsidR="2E6A0689" w:rsidRPr="00183B38" w:rsidRDefault="00155D69" w:rsidP="00C24E16">
      <w:pPr>
        <w:pStyle w:val="ListParagraph"/>
        <w:numPr>
          <w:ilvl w:val="0"/>
          <w:numId w:val="12"/>
        </w:numPr>
        <w:spacing w:after="120"/>
        <w:contextualSpacing w:val="0"/>
        <w:rPr>
          <w:lang w:val="fr-CA"/>
        </w:rPr>
      </w:pPr>
      <w:r>
        <w:rPr>
          <w:rFonts w:eastAsia="Arial" w:cs="Arial"/>
          <w:lang w:val="fr-CA"/>
        </w:rPr>
        <w:t xml:space="preserve">La présente politique est affichée sur la page Accessibilité de Metrolinx ainsi que sur d’autres pages Web de GO, UP et PRESTO. </w:t>
      </w:r>
    </w:p>
    <w:p w14:paraId="40D7DEB7" w14:textId="77777777" w:rsidR="2E6A0689" w:rsidRPr="00183B38" w:rsidRDefault="00155D69" w:rsidP="00C24E16">
      <w:pPr>
        <w:pStyle w:val="ListParagraph"/>
        <w:numPr>
          <w:ilvl w:val="0"/>
          <w:numId w:val="12"/>
        </w:numPr>
        <w:contextualSpacing w:val="0"/>
        <w:rPr>
          <w:rFonts w:eastAsia="Arial" w:cs="Arial"/>
          <w:lang w:val="fr-CA"/>
        </w:rPr>
      </w:pPr>
      <w:r>
        <w:rPr>
          <w:rFonts w:eastAsia="Arial" w:cs="Arial"/>
          <w:lang w:val="fr-CA"/>
        </w:rPr>
        <w:t xml:space="preserve">Des mises à jour peuvent être apportées à la politique de temps à autre et seront publiées sur les sites Web ci-dessus. </w:t>
      </w:r>
    </w:p>
    <w:p w14:paraId="3487D851" w14:textId="24190033" w:rsidR="008C50B6" w:rsidRPr="00183B38" w:rsidRDefault="00155D69" w:rsidP="00340151">
      <w:pPr>
        <w:pStyle w:val="Note"/>
        <w:spacing w:after="120" w:line="259" w:lineRule="auto"/>
        <w:ind w:left="0" w:firstLine="0"/>
        <w:rPr>
          <w:lang w:val="fr-CA"/>
        </w:rPr>
      </w:pPr>
      <w:r>
        <w:rPr>
          <w:bCs w:val="0"/>
          <w:lang w:val="fr-CA"/>
        </w:rPr>
        <w:t xml:space="preserve">Un résumé en langage clair ainsi qu’un document de questions fréquentes seront mis à disposition pour faciliter la compréhension. </w:t>
      </w:r>
    </w:p>
    <w:p w14:paraId="5A8259FD" w14:textId="468F3DAC" w:rsidR="008C50B6" w:rsidRPr="00183B38" w:rsidRDefault="00155D69" w:rsidP="00C24E16">
      <w:pPr>
        <w:spacing w:line="259" w:lineRule="auto"/>
        <w:ind w:left="1800" w:hanging="1440"/>
        <w:rPr>
          <w:lang w:val="fr-CA"/>
        </w:rPr>
      </w:pPr>
      <w:r>
        <w:rPr>
          <w:b/>
          <w:bCs/>
          <w:color w:val="000000" w:themeColor="text1"/>
          <w:lang w:val="fr-CA"/>
        </w:rPr>
        <w:t>Remarque</w:t>
      </w:r>
      <w:r w:rsidR="00C24E16">
        <w:rPr>
          <w:b/>
          <w:bCs/>
          <w:color w:val="000000" w:themeColor="text1"/>
          <w:lang w:val="fr-CA"/>
        </w:rPr>
        <w:t xml:space="preserve"> </w:t>
      </w:r>
      <w:r>
        <w:rPr>
          <w:b/>
          <w:bCs/>
          <w:color w:val="000000" w:themeColor="text1"/>
          <w:lang w:val="fr-CA"/>
        </w:rPr>
        <w:t>:</w:t>
      </w:r>
      <w:r w:rsidR="00C24E16">
        <w:rPr>
          <w:b/>
          <w:bCs/>
          <w:color w:val="000000" w:themeColor="text1"/>
          <w:lang w:val="fr-CA"/>
        </w:rPr>
        <w:tab/>
      </w:r>
      <w:r>
        <w:rPr>
          <w:color w:val="000000" w:themeColor="text1"/>
          <w:lang w:val="fr-CA"/>
        </w:rPr>
        <w:t>La politique est disponible dans des supports de substitution ou avec des services de communication</w:t>
      </w:r>
      <w:r>
        <w:rPr>
          <w:lang w:val="fr-CA"/>
        </w:rPr>
        <w:t xml:space="preserve"> </w:t>
      </w:r>
      <w:r>
        <w:rPr>
          <w:color w:val="000000" w:themeColor="text1"/>
          <w:lang w:val="fr-CA"/>
        </w:rPr>
        <w:t xml:space="preserve">en contactant </w:t>
      </w:r>
      <w:hyperlink r:id="rId14">
        <w:r w:rsidR="008C50B6">
          <w:rPr>
            <w:rStyle w:val="Hyperlink"/>
            <w:rFonts w:eastAsia="Arial" w:cs="Arial"/>
            <w:color w:val="0000FF"/>
            <w:u w:val="none"/>
            <w:lang w:val="fr-CA"/>
          </w:rPr>
          <w:t>accessibility@metrolinx.com</w:t>
        </w:r>
      </w:hyperlink>
      <w:r>
        <w:rPr>
          <w:color w:val="000000" w:themeColor="text1"/>
          <w:lang w:val="fr-CA"/>
        </w:rPr>
        <w:t xml:space="preserve"> ou par l’intermédiaire du </w:t>
      </w:r>
      <w:hyperlink r:id="rId15">
        <w:r w:rsidR="008C50B6">
          <w:rPr>
            <w:rStyle w:val="Hyperlink"/>
            <w:rFonts w:eastAsia="Arial" w:cs="Arial"/>
            <w:color w:val="0000FF"/>
            <w:u w:val="none"/>
            <w:lang w:val="fr-CA"/>
          </w:rPr>
          <w:t>Centre de contact</w:t>
        </w:r>
      </w:hyperlink>
      <w:r>
        <w:rPr>
          <w:color w:val="000000" w:themeColor="text1"/>
          <w:lang w:val="fr-CA"/>
        </w:rPr>
        <w:t xml:space="preserve">. </w:t>
      </w:r>
    </w:p>
    <w:p w14:paraId="3C734310" w14:textId="77777777" w:rsidR="008C50B6" w:rsidRPr="00183B38" w:rsidRDefault="00155D69" w:rsidP="00C24E16">
      <w:pPr>
        <w:pStyle w:val="Note"/>
        <w:spacing w:before="360" w:after="120" w:line="259" w:lineRule="auto"/>
        <w:ind w:left="0" w:firstLine="0"/>
        <w:rPr>
          <w:b/>
          <w:sz w:val="28"/>
          <w:szCs w:val="28"/>
          <w:lang w:val="fr-CA"/>
        </w:rPr>
      </w:pPr>
      <w:bookmarkStart w:id="2" w:name="GeneralRules"/>
      <w:r>
        <w:rPr>
          <w:b/>
          <w:sz w:val="28"/>
          <w:szCs w:val="28"/>
          <w:lang w:val="fr-CA"/>
        </w:rPr>
        <w:t>RÈGLES GÉNÉRALES POUR LES ANIMAUX D’ASSISTANCE</w:t>
      </w:r>
      <w:bookmarkStart w:id="3" w:name="Bookmark1"/>
      <w:bookmarkEnd w:id="3"/>
    </w:p>
    <w:bookmarkEnd w:id="2"/>
    <w:p w14:paraId="2CE09C1F" w14:textId="77777777" w:rsidR="008C50B6" w:rsidRPr="00183B38" w:rsidRDefault="00155D69" w:rsidP="00C24E16">
      <w:pPr>
        <w:spacing w:after="120"/>
        <w:rPr>
          <w:lang w:val="fr-CA"/>
        </w:rPr>
      </w:pPr>
      <w:r>
        <w:rPr>
          <w:lang w:val="fr-CA"/>
        </w:rPr>
        <w:t>Les règles générales suivantes s’appliquent à tous les clients voyageant avec des animaux d’assistance sur les services de Metrolinx :</w:t>
      </w:r>
    </w:p>
    <w:p w14:paraId="3FD22CE6" w14:textId="15672BDC" w:rsidR="008C50B6" w:rsidRDefault="00155D69" w:rsidP="00C24E16">
      <w:pPr>
        <w:pStyle w:val="ListParagraph"/>
        <w:numPr>
          <w:ilvl w:val="0"/>
          <w:numId w:val="16"/>
        </w:numPr>
        <w:spacing w:after="120"/>
        <w:contextualSpacing w:val="0"/>
        <w:rPr>
          <w:b/>
          <w:bCs/>
        </w:rPr>
      </w:pPr>
      <w:r>
        <w:rPr>
          <w:b/>
          <w:bCs/>
          <w:lang w:val="fr-CA"/>
        </w:rPr>
        <w:t>Contrôle et comportement</w:t>
      </w:r>
    </w:p>
    <w:p w14:paraId="7D115303" w14:textId="320A54AA" w:rsidR="008C50B6" w:rsidRPr="00183B38" w:rsidRDefault="00155D69" w:rsidP="00C24E16">
      <w:pPr>
        <w:pStyle w:val="ListParagraph"/>
        <w:numPr>
          <w:ilvl w:val="1"/>
          <w:numId w:val="16"/>
        </w:numPr>
        <w:spacing w:after="120"/>
        <w:contextualSpacing w:val="0"/>
        <w:rPr>
          <w:lang w:val="fr-CA"/>
        </w:rPr>
      </w:pPr>
      <w:r>
        <w:rPr>
          <w:lang w:val="fr-CA"/>
        </w:rPr>
        <w:t>Les animaux d’assistance doivent toujours rester sous le contrôle de leur maître (p. ex. par une laisse, un harnais ou d’autres moyens).</w:t>
      </w:r>
    </w:p>
    <w:p w14:paraId="1CAA83AB" w14:textId="515ECB02" w:rsidR="008C50B6" w:rsidRPr="00183B38" w:rsidRDefault="00155D69" w:rsidP="00C24E16">
      <w:pPr>
        <w:pStyle w:val="ListParagraph"/>
        <w:numPr>
          <w:ilvl w:val="1"/>
          <w:numId w:val="16"/>
        </w:numPr>
        <w:contextualSpacing w:val="0"/>
        <w:rPr>
          <w:lang w:val="fr-CA"/>
        </w:rPr>
      </w:pPr>
      <w:r>
        <w:rPr>
          <w:lang w:val="fr-CA"/>
        </w:rPr>
        <w:t>Les animaux d’assistance doivent se comporter de manière appropriée et ne pas perturber les opérations ou les autres passagers.</w:t>
      </w:r>
    </w:p>
    <w:p w14:paraId="5489E80C" w14:textId="3C9EEFFB" w:rsidR="008C50B6" w:rsidRDefault="00155D69" w:rsidP="00C24E16">
      <w:pPr>
        <w:pStyle w:val="ListParagraph"/>
        <w:numPr>
          <w:ilvl w:val="0"/>
          <w:numId w:val="16"/>
        </w:numPr>
        <w:spacing w:after="120"/>
        <w:contextualSpacing w:val="0"/>
        <w:rPr>
          <w:b/>
          <w:bCs/>
        </w:rPr>
      </w:pPr>
      <w:r>
        <w:rPr>
          <w:b/>
          <w:bCs/>
          <w:lang w:val="fr-CA"/>
        </w:rPr>
        <w:t>Placement sur les véhicules</w:t>
      </w:r>
    </w:p>
    <w:p w14:paraId="499805A7" w14:textId="77777777" w:rsidR="008C50B6" w:rsidRPr="00183B38" w:rsidRDefault="00155D69" w:rsidP="00C24E16">
      <w:pPr>
        <w:pStyle w:val="ListParagraph"/>
        <w:numPr>
          <w:ilvl w:val="1"/>
          <w:numId w:val="16"/>
        </w:numPr>
        <w:spacing w:after="120"/>
        <w:contextualSpacing w:val="0"/>
        <w:rPr>
          <w:lang w:val="fr-CA"/>
        </w:rPr>
      </w:pPr>
      <w:r>
        <w:rPr>
          <w:lang w:val="fr-CA"/>
        </w:rPr>
        <w:t xml:space="preserve">Les animaux d’assistance doivent rester sur le sol, dans les bras ou sur les genoux du client, et ne pas occuper de sièges. </w:t>
      </w:r>
    </w:p>
    <w:p w14:paraId="681DA3B8" w14:textId="77777777" w:rsidR="00E66FEE" w:rsidRPr="00183B38" w:rsidRDefault="00155D69" w:rsidP="00C24E16">
      <w:pPr>
        <w:pStyle w:val="ListParagraph"/>
        <w:numPr>
          <w:ilvl w:val="1"/>
          <w:numId w:val="16"/>
        </w:numPr>
        <w:spacing w:after="120"/>
        <w:contextualSpacing w:val="0"/>
        <w:rPr>
          <w:lang w:val="fr-CA"/>
        </w:rPr>
      </w:pPr>
      <w:r>
        <w:rPr>
          <w:lang w:val="fr-CA"/>
        </w:rPr>
        <w:t>Les clients doivent s’assurer que leur animal d’assistance ne bloque pas les allées, les portes ou les sorties de secours.</w:t>
      </w:r>
    </w:p>
    <w:p w14:paraId="541EB1B2" w14:textId="77777777" w:rsidR="00730CDE" w:rsidRPr="00183B38" w:rsidRDefault="00155D69" w:rsidP="00C24E16">
      <w:pPr>
        <w:pStyle w:val="ListParagraph"/>
        <w:numPr>
          <w:ilvl w:val="1"/>
          <w:numId w:val="16"/>
        </w:numPr>
        <w:spacing w:after="120"/>
        <w:contextualSpacing w:val="0"/>
        <w:rPr>
          <w:lang w:val="fr-CA"/>
        </w:rPr>
      </w:pPr>
      <w:r>
        <w:rPr>
          <w:lang w:val="fr-CA"/>
        </w:rPr>
        <w:t xml:space="preserve">Le niveau supérieur peut présenter des risques pour les animaux, notamment en raison des escaliers, de l’espace restreint et d’une évacuation retardée en cas d’urgence.  Pour la sécurité de tous les passagers et des animaux, il est </w:t>
      </w:r>
      <w:r>
        <w:rPr>
          <w:lang w:val="fr-CA"/>
        </w:rPr>
        <w:lastRenderedPageBreak/>
        <w:t>fortement recommandé que les animaux restent au niveau inférieur dans la mesure du possible. </w:t>
      </w:r>
    </w:p>
    <w:p w14:paraId="3893CA10" w14:textId="38694B5F" w:rsidR="008C50B6" w:rsidRDefault="00155D69" w:rsidP="00C24E16">
      <w:pPr>
        <w:pStyle w:val="ListParagraph"/>
        <w:numPr>
          <w:ilvl w:val="0"/>
          <w:numId w:val="16"/>
        </w:numPr>
        <w:spacing w:after="120"/>
        <w:contextualSpacing w:val="0"/>
        <w:rPr>
          <w:b/>
          <w:bCs/>
        </w:rPr>
      </w:pPr>
      <w:r>
        <w:rPr>
          <w:b/>
          <w:bCs/>
          <w:lang w:val="fr-CA"/>
        </w:rPr>
        <w:t>Identification</w:t>
      </w:r>
    </w:p>
    <w:p w14:paraId="70A2BBEF" w14:textId="313EEC4C" w:rsidR="4A4DC3A1" w:rsidRPr="00C24E16" w:rsidRDefault="00155D69" w:rsidP="00C24E16">
      <w:pPr>
        <w:pStyle w:val="ListParagraph"/>
        <w:numPr>
          <w:ilvl w:val="1"/>
          <w:numId w:val="16"/>
        </w:numPr>
        <w:spacing w:after="120"/>
        <w:contextualSpacing w:val="0"/>
        <w:rPr>
          <w:lang w:val="fr-CA"/>
        </w:rPr>
      </w:pPr>
      <w:r w:rsidRPr="00C24E16">
        <w:rPr>
          <w:lang w:val="fr-CA"/>
        </w:rPr>
        <w:t>Bien que cela ne soit pas obligatoire, les clients sont encouragés à faire porter des identifiants visibles à leurs animaux d’assistance (p. ex. un gilet ou un harnais) pour une reconnaissance facile.</w:t>
      </w:r>
    </w:p>
    <w:p w14:paraId="5092E1AC" w14:textId="02E62EB8" w:rsidR="008B4379" w:rsidRPr="00C24E16" w:rsidRDefault="00155D69" w:rsidP="00C24E16">
      <w:pPr>
        <w:pStyle w:val="ListParagraph"/>
        <w:numPr>
          <w:ilvl w:val="1"/>
          <w:numId w:val="16"/>
        </w:numPr>
        <w:contextualSpacing w:val="0"/>
        <w:rPr>
          <w:lang w:val="fr-CA"/>
        </w:rPr>
      </w:pPr>
      <w:r w:rsidRPr="00C24E16">
        <w:rPr>
          <w:lang w:val="fr-CA"/>
        </w:rPr>
        <w:t xml:space="preserve">Une documentation peut être demandée lorsqu’il n’est pas évident que l’animal est un animal d’assistance (voir </w:t>
      </w:r>
      <w:hyperlink w:anchor="three_reg">
        <w:r w:rsidR="008B4379" w:rsidRPr="00C24E16">
          <w:rPr>
            <w:rStyle w:val="Hyperlink"/>
            <w:u w:val="none"/>
            <w:lang w:val="fr-CA"/>
          </w:rPr>
          <w:t>Exigences d’identification</w:t>
        </w:r>
      </w:hyperlink>
      <w:r w:rsidRPr="00C24E16">
        <w:rPr>
          <w:lang w:val="fr-CA"/>
        </w:rPr>
        <w:t>).</w:t>
      </w:r>
    </w:p>
    <w:p w14:paraId="2DE850F6" w14:textId="539AECF5" w:rsidR="008C50B6" w:rsidRDefault="00155D69" w:rsidP="00C24E16">
      <w:pPr>
        <w:pStyle w:val="ListParagraph"/>
        <w:numPr>
          <w:ilvl w:val="0"/>
          <w:numId w:val="16"/>
        </w:numPr>
        <w:spacing w:after="120"/>
        <w:contextualSpacing w:val="0"/>
        <w:rPr>
          <w:b/>
          <w:bCs/>
        </w:rPr>
      </w:pPr>
      <w:r>
        <w:rPr>
          <w:b/>
          <w:bCs/>
          <w:lang w:val="fr-CA"/>
        </w:rPr>
        <w:t>Santé et sécurité</w:t>
      </w:r>
    </w:p>
    <w:p w14:paraId="4476C02A" w14:textId="798161F9" w:rsidR="008C50B6" w:rsidRPr="00183B38" w:rsidRDefault="00155D69" w:rsidP="00C24E16">
      <w:pPr>
        <w:pStyle w:val="ListParagraph"/>
        <w:numPr>
          <w:ilvl w:val="1"/>
          <w:numId w:val="16"/>
        </w:numPr>
        <w:spacing w:after="120"/>
        <w:contextualSpacing w:val="0"/>
        <w:rPr>
          <w:lang w:val="fr-CA"/>
        </w:rPr>
      </w:pPr>
      <w:r>
        <w:rPr>
          <w:lang w:val="fr-CA"/>
        </w:rPr>
        <w:t>Les animaux d’assistance doivent être propres, bien élevés et ne pas représenter un risque pour la santé ou la sécurité des autres.</w:t>
      </w:r>
    </w:p>
    <w:p w14:paraId="1AB6DA16" w14:textId="73987EAC" w:rsidR="008C50B6" w:rsidRPr="00183B38" w:rsidRDefault="00155D69" w:rsidP="00C24E16">
      <w:pPr>
        <w:pStyle w:val="ListParagraph"/>
        <w:numPr>
          <w:ilvl w:val="1"/>
          <w:numId w:val="16"/>
        </w:numPr>
        <w:contextualSpacing w:val="0"/>
        <w:rPr>
          <w:lang w:val="fr-CA"/>
        </w:rPr>
      </w:pPr>
      <w:r>
        <w:rPr>
          <w:lang w:val="fr-CA"/>
        </w:rPr>
        <w:t xml:space="preserve">Dans les cas où un animal d’assistance manifeste un comportement agressif ou dangereux, le personnel peut prendre des mesures raisonnables, y compris demander au client de descendre pour la sécurité de tous les passagers. Les clients peuvent poursuivre leur chemin s’ils parviennent à maîtriser l’animal. </w:t>
      </w:r>
    </w:p>
    <w:p w14:paraId="73D934C3" w14:textId="3C407802" w:rsidR="008C50B6" w:rsidRDefault="00155D69" w:rsidP="00C24E16">
      <w:pPr>
        <w:pStyle w:val="ListParagraph"/>
        <w:numPr>
          <w:ilvl w:val="0"/>
          <w:numId w:val="16"/>
        </w:numPr>
        <w:spacing w:after="120"/>
        <w:contextualSpacing w:val="0"/>
        <w:rPr>
          <w:b/>
          <w:bCs/>
        </w:rPr>
      </w:pPr>
      <w:r>
        <w:rPr>
          <w:b/>
          <w:bCs/>
          <w:lang w:val="fr-CA"/>
        </w:rPr>
        <w:t>Allergies et phobies</w:t>
      </w:r>
    </w:p>
    <w:p w14:paraId="6ECA1493" w14:textId="1048B162" w:rsidR="008C50B6" w:rsidRPr="00183B38" w:rsidRDefault="00155D69" w:rsidP="00C24E16">
      <w:pPr>
        <w:pStyle w:val="ListParagraph"/>
        <w:numPr>
          <w:ilvl w:val="1"/>
          <w:numId w:val="16"/>
        </w:numPr>
        <w:contextualSpacing w:val="0"/>
        <w:rPr>
          <w:lang w:val="fr-CA"/>
        </w:rPr>
      </w:pPr>
      <w:r>
        <w:rPr>
          <w:lang w:val="fr-CA"/>
        </w:rPr>
        <w:t xml:space="preserve">Dans le cas où les clients ont des besoins conflictuels, par exemple, en raison d’allergies ou de peur des animaux, le personnel </w:t>
      </w:r>
      <w:proofErr w:type="gramStart"/>
      <w:r>
        <w:rPr>
          <w:lang w:val="fr-CA"/>
        </w:rPr>
        <w:t>fera</w:t>
      </w:r>
      <w:proofErr w:type="gramEnd"/>
      <w:r>
        <w:rPr>
          <w:lang w:val="fr-CA"/>
        </w:rPr>
        <w:t xml:space="preserve"> des efforts raisonnables pour accommoder toutes les parties tout en respectant les exigences législatives permettant au client ayant un handicap de voyager avec son animal d’assistance.</w:t>
      </w:r>
    </w:p>
    <w:p w14:paraId="59842F6E" w14:textId="4FC9A91C" w:rsidR="008C50B6" w:rsidRDefault="00155D69" w:rsidP="00C24E16">
      <w:pPr>
        <w:pStyle w:val="ListParagraph"/>
        <w:numPr>
          <w:ilvl w:val="0"/>
          <w:numId w:val="16"/>
        </w:numPr>
        <w:spacing w:after="120"/>
        <w:contextualSpacing w:val="0"/>
        <w:rPr>
          <w:b/>
          <w:bCs/>
        </w:rPr>
      </w:pPr>
      <w:r>
        <w:rPr>
          <w:b/>
          <w:bCs/>
          <w:lang w:val="fr-CA"/>
        </w:rPr>
        <w:t>Plaintes et escalades</w:t>
      </w:r>
    </w:p>
    <w:p w14:paraId="3F1C7BAF" w14:textId="06696CF8" w:rsidR="008C50B6" w:rsidRPr="00183B38" w:rsidRDefault="00155D69" w:rsidP="00C24E16">
      <w:pPr>
        <w:pStyle w:val="ListParagraph"/>
        <w:numPr>
          <w:ilvl w:val="1"/>
          <w:numId w:val="16"/>
        </w:numPr>
        <w:spacing w:after="120"/>
        <w:contextualSpacing w:val="0"/>
        <w:rPr>
          <w:lang w:val="fr-CA"/>
        </w:rPr>
      </w:pPr>
      <w:r>
        <w:rPr>
          <w:lang w:val="fr-CA"/>
        </w:rPr>
        <w:t>Les clients peuvent signaler des préoccupations ou des incidents impliquant des animaux d’assistance par le biais des canaux de plainte établis par Metrolinx.</w:t>
      </w:r>
    </w:p>
    <w:p w14:paraId="1BC56B48" w14:textId="740F57AB" w:rsidR="00C24E16" w:rsidRDefault="00155D69" w:rsidP="00C24E16">
      <w:pPr>
        <w:pStyle w:val="ListParagraph"/>
        <w:numPr>
          <w:ilvl w:val="1"/>
          <w:numId w:val="16"/>
        </w:numPr>
        <w:contextualSpacing w:val="0"/>
        <w:rPr>
          <w:rFonts w:eastAsia="Arial" w:cs="Arial"/>
          <w:color w:val="000000" w:themeColor="text1"/>
          <w:lang w:val="fr-CA"/>
        </w:rPr>
      </w:pPr>
      <w:r w:rsidRPr="00C24E16">
        <w:rPr>
          <w:rFonts w:eastAsia="Arial" w:cs="Arial"/>
          <w:color w:val="000000" w:themeColor="text1"/>
          <w:lang w:val="fr-CA"/>
        </w:rPr>
        <w:t>La LAPHO établit des normes pour cerner, éliminer et prévenir les obstacles à l’accessibilité. Toutefois, la loi n’est pas conçue pour traiter les plaintes si un client estime avoir été victime de discrimination en raison d’un handicap. Les clients qui estiment avoir été personnellement discriminés en raison d’un handicap et qui souhaitent entreprendre des démarches peuvent contacter le Tribunal des droits de la personne de l’Ontario.</w:t>
      </w:r>
    </w:p>
    <w:p w14:paraId="7FB162B3" w14:textId="77777777" w:rsidR="008C50B6" w:rsidRPr="00461E73" w:rsidRDefault="00155D69" w:rsidP="00B00246">
      <w:pPr>
        <w:pStyle w:val="ListParagraph"/>
        <w:numPr>
          <w:ilvl w:val="0"/>
          <w:numId w:val="16"/>
        </w:numPr>
        <w:spacing w:after="120" w:line="259" w:lineRule="auto"/>
        <w:rPr>
          <w:b/>
          <w:bCs/>
        </w:rPr>
      </w:pPr>
      <w:bookmarkStart w:id="4" w:name="seven"/>
      <w:r>
        <w:rPr>
          <w:b/>
          <w:bCs/>
          <w:lang w:val="fr-CA"/>
        </w:rPr>
        <w:t>Sécurité des animaux</w:t>
      </w:r>
    </w:p>
    <w:bookmarkEnd w:id="4"/>
    <w:p w14:paraId="53245A0C" w14:textId="77777777" w:rsidR="008C50B6" w:rsidRPr="00183B38" w:rsidRDefault="00155D69" w:rsidP="00B64993">
      <w:pPr>
        <w:spacing w:after="120"/>
        <w:ind w:left="720"/>
        <w:rPr>
          <w:lang w:val="fr-CA"/>
        </w:rPr>
      </w:pPr>
      <w:r>
        <w:rPr>
          <w:lang w:val="fr-CA"/>
        </w:rPr>
        <w:t xml:space="preserve">Les animaux d’assistance sont généralement autorisés sur tous les services et propriétés de Metrolinx. Cependant, dans de rares circonstances, </w:t>
      </w:r>
      <w:r>
        <w:rPr>
          <w:b/>
          <w:bCs/>
          <w:lang w:val="fr-CA"/>
        </w:rPr>
        <w:t>Metrolinx peut restreindre l’accès</w:t>
      </w:r>
      <w:r>
        <w:rPr>
          <w:lang w:val="fr-CA"/>
        </w:rPr>
        <w:t xml:space="preserve"> si :</w:t>
      </w:r>
    </w:p>
    <w:p w14:paraId="349F634A" w14:textId="77777777" w:rsidR="008C50B6" w:rsidRPr="00183B38" w:rsidRDefault="00155D69" w:rsidP="00697471">
      <w:pPr>
        <w:pStyle w:val="ListParagraph"/>
        <w:numPr>
          <w:ilvl w:val="1"/>
          <w:numId w:val="16"/>
        </w:numPr>
        <w:spacing w:after="120"/>
        <w:rPr>
          <w:lang w:val="fr-CA"/>
        </w:rPr>
      </w:pPr>
      <w:r>
        <w:rPr>
          <w:lang w:val="fr-CA"/>
        </w:rPr>
        <w:t xml:space="preserve">L’animal </w:t>
      </w:r>
      <w:r>
        <w:rPr>
          <w:b/>
          <w:bCs/>
          <w:lang w:val="fr-CA"/>
        </w:rPr>
        <w:t>présente un risque pour la sécurité ou la santé</w:t>
      </w:r>
      <w:r>
        <w:rPr>
          <w:lang w:val="fr-CA"/>
        </w:rPr>
        <w:t xml:space="preserve"> des clients, du personnel ou d’autres animaux, y compris dans les circonstances où l’animal d’assistance devient agressif ou blesse intentionnellement un autre client. Dans </w:t>
      </w:r>
      <w:r>
        <w:rPr>
          <w:lang w:val="fr-CA"/>
        </w:rPr>
        <w:lastRenderedPageBreak/>
        <w:t>un tel cas, le personnel travaillera avec le client pour trouver un arrangement alternatif afin de maintenir l’accessibilité dans la mesure du possible.</w:t>
      </w:r>
    </w:p>
    <w:p w14:paraId="61B0DB0F" w14:textId="21C535A0" w:rsidR="00AD12D4" w:rsidRPr="00183B38" w:rsidRDefault="00155D69" w:rsidP="00907103">
      <w:pPr>
        <w:pStyle w:val="Note"/>
        <w:ind w:left="2880" w:hanging="1440"/>
        <w:rPr>
          <w:lang w:val="fr-CA"/>
        </w:rPr>
      </w:pPr>
      <w:r>
        <w:rPr>
          <w:b/>
          <w:lang w:val="fr-CA"/>
        </w:rPr>
        <w:t>Remarque :</w:t>
      </w:r>
      <w:r w:rsidR="00C24E16">
        <w:rPr>
          <w:b/>
          <w:lang w:val="fr-CA"/>
        </w:rPr>
        <w:tab/>
      </w:r>
      <w:r>
        <w:rPr>
          <w:bCs w:val="0"/>
          <w:lang w:val="fr-CA"/>
        </w:rPr>
        <w:t>Metrolinx pourrait ne pas être en mesure d’accueillir les animaux d’assistance qui ne sont pas</w:t>
      </w:r>
      <w:r w:rsidR="008A4766">
        <w:rPr>
          <w:bCs w:val="0"/>
          <w:lang w:val="fr-CA"/>
        </w:rPr>
        <w:t xml:space="preserve"> </w:t>
      </w:r>
      <w:r>
        <w:rPr>
          <w:bCs w:val="0"/>
          <w:lang w:val="fr-CA"/>
        </w:rPr>
        <w:t xml:space="preserve">domestiqués ou qui pourraient présenter un </w:t>
      </w:r>
      <w:r w:rsidR="008A4766">
        <w:rPr>
          <w:bCs w:val="0"/>
          <w:lang w:val="fr-CA"/>
        </w:rPr>
        <w:t>danger</w:t>
      </w:r>
      <w:r>
        <w:rPr>
          <w:bCs w:val="0"/>
          <w:lang w:val="fr-CA"/>
        </w:rPr>
        <w:t xml:space="preserve"> pour le personnel ou les clients</w:t>
      </w:r>
      <w:r w:rsidR="008A4766">
        <w:rPr>
          <w:bCs w:val="0"/>
          <w:lang w:val="fr-CA"/>
        </w:rPr>
        <w:t xml:space="preserve"> </w:t>
      </w:r>
      <w:r>
        <w:rPr>
          <w:bCs w:val="0"/>
          <w:lang w:val="fr-CA"/>
        </w:rPr>
        <w:t>(p. ex. des animaux exotiques ou sauvages). Si cela est permis, ce type d’animal d’assistance doi</w:t>
      </w:r>
      <w:r w:rsidR="008A4766">
        <w:rPr>
          <w:bCs w:val="0"/>
          <w:lang w:val="fr-CA"/>
        </w:rPr>
        <w:t>t</w:t>
      </w:r>
      <w:r>
        <w:rPr>
          <w:bCs w:val="0"/>
          <w:lang w:val="fr-CA"/>
        </w:rPr>
        <w:t xml:space="preserve"> être attaché ou maîtrisé (p. ex. un transporteur portable) et l’accès à l’animal peut être limité lors de l’utilisation des services et/ou des propriétés de Metrolinx.</w:t>
      </w:r>
      <w:r w:rsidR="008A4766">
        <w:rPr>
          <w:bCs w:val="0"/>
          <w:lang w:val="fr-CA"/>
        </w:rPr>
        <w:t xml:space="preserve"> </w:t>
      </w:r>
      <w:r>
        <w:rPr>
          <w:bCs w:val="0"/>
          <w:lang w:val="fr-CA"/>
        </w:rPr>
        <w:t xml:space="preserve">Une autorisation de Metrolinx concernant la participation aux services de Metrolinx avec un animal d’assistance de cette nature. </w:t>
      </w:r>
    </w:p>
    <w:p w14:paraId="58D0ABBC" w14:textId="3DFCAE7A" w:rsidR="00264751" w:rsidRPr="00183B38" w:rsidRDefault="00155D69" w:rsidP="00B64993">
      <w:pPr>
        <w:pStyle w:val="Note"/>
        <w:numPr>
          <w:ilvl w:val="0"/>
          <w:numId w:val="16"/>
        </w:numPr>
        <w:spacing w:after="120"/>
        <w:rPr>
          <w:lang w:val="fr-CA"/>
        </w:rPr>
      </w:pPr>
      <w:r>
        <w:rPr>
          <w:bCs w:val="0"/>
          <w:lang w:val="fr-CA"/>
        </w:rPr>
        <w:t>Le personnel doit informer rapidement le Centre d’opérations du réseau (COR) lorsqu’il rencontre des situations où :</w:t>
      </w:r>
      <w:r w:rsidR="008A4766">
        <w:rPr>
          <w:bCs w:val="0"/>
          <w:lang w:val="fr-CA"/>
        </w:rPr>
        <w:t xml:space="preserve"> </w:t>
      </w:r>
    </w:p>
    <w:p w14:paraId="58592A9B" w14:textId="77777777" w:rsidR="00264751" w:rsidRPr="00183B38" w:rsidRDefault="00155D69" w:rsidP="00B64993">
      <w:pPr>
        <w:pStyle w:val="Note"/>
        <w:numPr>
          <w:ilvl w:val="1"/>
          <w:numId w:val="12"/>
        </w:numPr>
        <w:spacing w:after="120"/>
        <w:rPr>
          <w:lang w:val="fr-CA"/>
        </w:rPr>
      </w:pPr>
      <w:r>
        <w:rPr>
          <w:bCs w:val="0"/>
          <w:lang w:val="fr-CA"/>
        </w:rPr>
        <w:t>L’animal d’assistance pose un problème de sécurité.</w:t>
      </w:r>
    </w:p>
    <w:p w14:paraId="6FC457F1" w14:textId="77777777" w:rsidR="00264751" w:rsidRPr="00183B38" w:rsidRDefault="00155D69" w:rsidP="00264751">
      <w:pPr>
        <w:pStyle w:val="Note"/>
        <w:numPr>
          <w:ilvl w:val="1"/>
          <w:numId w:val="12"/>
        </w:numPr>
        <w:rPr>
          <w:lang w:val="fr-CA"/>
        </w:rPr>
      </w:pPr>
      <w:r>
        <w:rPr>
          <w:bCs w:val="0"/>
          <w:lang w:val="fr-CA"/>
        </w:rPr>
        <w:t>Le personnel ou les clients ont une allergie, une peur ou une phobie qui crée un conflit.</w:t>
      </w:r>
    </w:p>
    <w:p w14:paraId="5A6EBE5F" w14:textId="77777777" w:rsidR="002C53DA" w:rsidRPr="00183B38" w:rsidRDefault="00155D69" w:rsidP="00DC2569">
      <w:pPr>
        <w:pStyle w:val="Heading4"/>
        <w:spacing w:before="360" w:after="120"/>
        <w:rPr>
          <w:lang w:val="fr-CA"/>
        </w:rPr>
      </w:pPr>
      <w:r>
        <w:rPr>
          <w:caps w:val="0"/>
          <w:lang w:val="fr-CA"/>
        </w:rPr>
        <w:t>RÔLES ET RESPONSABILITÉS</w:t>
      </w:r>
    </w:p>
    <w:p w14:paraId="658A2C3C" w14:textId="77777777" w:rsidR="001A52A3" w:rsidRPr="00183B38" w:rsidRDefault="00155D69" w:rsidP="00B00246">
      <w:pPr>
        <w:pStyle w:val="Note"/>
        <w:ind w:left="0" w:firstLine="0"/>
        <w:rPr>
          <w:lang w:val="fr-CA"/>
        </w:rPr>
      </w:pPr>
      <w:r>
        <w:rPr>
          <w:bCs w:val="0"/>
          <w:lang w:val="fr-CA"/>
        </w:rPr>
        <w:t xml:space="preserve">Tout le personnel de Metrolinx doit se conformer aux exigences de la LAPHO et du </w:t>
      </w:r>
      <w:r>
        <w:rPr>
          <w:bCs w:val="0"/>
          <w:i/>
          <w:iCs/>
          <w:lang w:val="fr-CA"/>
        </w:rPr>
        <w:t>Code des droits de la personne</w:t>
      </w:r>
      <w:r>
        <w:rPr>
          <w:bCs w:val="0"/>
          <w:lang w:val="fr-CA"/>
        </w:rPr>
        <w:t xml:space="preserve"> concernant les animaux d’assistance.</w:t>
      </w:r>
    </w:p>
    <w:p w14:paraId="00CFDEF4" w14:textId="77777777" w:rsidR="001A52A3" w:rsidRPr="00183B38" w:rsidRDefault="00155D69" w:rsidP="00B64993">
      <w:pPr>
        <w:pStyle w:val="Note"/>
        <w:spacing w:after="120"/>
        <w:ind w:left="1077" w:hanging="1077"/>
        <w:rPr>
          <w:lang w:val="fr-CA"/>
        </w:rPr>
      </w:pPr>
      <w:r>
        <w:rPr>
          <w:bCs w:val="0"/>
          <w:lang w:val="fr-CA"/>
        </w:rPr>
        <w:t>Les responsabilités en fonction du rôle incluent :</w:t>
      </w:r>
    </w:p>
    <w:p w14:paraId="41A8F25C" w14:textId="77777777" w:rsidR="3C93F245" w:rsidRPr="00183B38" w:rsidRDefault="00155D69" w:rsidP="2316BF29">
      <w:pPr>
        <w:spacing w:after="120" w:line="259" w:lineRule="auto"/>
        <w:ind w:left="1080" w:hanging="1080"/>
        <w:rPr>
          <w:lang w:val="fr-CA"/>
        </w:rPr>
      </w:pPr>
      <w:r>
        <w:rPr>
          <w:rFonts w:eastAsia="Arial" w:cs="Arial"/>
          <w:b/>
          <w:bCs/>
          <w:lang w:val="fr-CA"/>
        </w:rPr>
        <w:t>Vice-président, Expérience client au sein du CTO</w:t>
      </w:r>
    </w:p>
    <w:p w14:paraId="09668459" w14:textId="77777777" w:rsidR="001A52A3" w:rsidRPr="00183B38" w:rsidRDefault="00155D69" w:rsidP="00E15CC0">
      <w:pPr>
        <w:pStyle w:val="Note"/>
        <w:numPr>
          <w:ilvl w:val="0"/>
          <w:numId w:val="13"/>
        </w:numPr>
        <w:rPr>
          <w:bCs w:val="0"/>
          <w:lang w:val="fr-CA"/>
        </w:rPr>
      </w:pPr>
      <w:r>
        <w:rPr>
          <w:bCs w:val="0"/>
          <w:lang w:val="fr-CA"/>
        </w:rPr>
        <w:t>Approbation de la politique et de ses structures.</w:t>
      </w:r>
    </w:p>
    <w:p w14:paraId="3CF00FDE" w14:textId="77777777" w:rsidR="001A52A3" w:rsidRDefault="00155D69" w:rsidP="001A52A3">
      <w:pPr>
        <w:pStyle w:val="Note"/>
        <w:spacing w:after="120"/>
        <w:rPr>
          <w:b/>
        </w:rPr>
      </w:pPr>
      <w:r>
        <w:rPr>
          <w:b/>
          <w:lang w:val="fr-CA"/>
        </w:rPr>
        <w:t>Directeurs, gestionnaires et superviseurs</w:t>
      </w:r>
    </w:p>
    <w:p w14:paraId="609D80B4" w14:textId="77777777" w:rsidR="001A52A3" w:rsidRPr="00183B38" w:rsidRDefault="00155D69" w:rsidP="001A52A3">
      <w:pPr>
        <w:pStyle w:val="Note"/>
        <w:numPr>
          <w:ilvl w:val="0"/>
          <w:numId w:val="13"/>
        </w:numPr>
        <w:rPr>
          <w:bCs w:val="0"/>
          <w:lang w:val="fr-CA"/>
        </w:rPr>
      </w:pPr>
      <w:r>
        <w:rPr>
          <w:bCs w:val="0"/>
          <w:lang w:val="fr-CA"/>
        </w:rPr>
        <w:t>Assumer la responsabilité de veiller à ce que la politique soit respectée comme requis.</w:t>
      </w:r>
    </w:p>
    <w:p w14:paraId="155F570E" w14:textId="77777777" w:rsidR="001A52A3" w:rsidRDefault="00155D69" w:rsidP="007210CD">
      <w:pPr>
        <w:pStyle w:val="Note"/>
        <w:spacing w:after="120"/>
        <w:rPr>
          <w:b/>
        </w:rPr>
      </w:pPr>
      <w:r>
        <w:rPr>
          <w:b/>
          <w:lang w:val="fr-CA"/>
        </w:rPr>
        <w:t>Personnel</w:t>
      </w:r>
    </w:p>
    <w:p w14:paraId="059B6984" w14:textId="77777777" w:rsidR="001A52A3" w:rsidRPr="00183B38" w:rsidRDefault="00155D69" w:rsidP="001A52A3">
      <w:pPr>
        <w:pStyle w:val="Note"/>
        <w:numPr>
          <w:ilvl w:val="0"/>
          <w:numId w:val="13"/>
        </w:numPr>
        <w:rPr>
          <w:lang w:val="fr-CA"/>
        </w:rPr>
      </w:pPr>
      <w:r>
        <w:rPr>
          <w:bCs w:val="0"/>
          <w:lang w:val="fr-CA"/>
        </w:rPr>
        <w:t>Respecter la politique et la formation concernant les animaux d’assistance.</w:t>
      </w:r>
    </w:p>
    <w:p w14:paraId="362B8D9F" w14:textId="77777777" w:rsidR="00D418EA" w:rsidRPr="00183B38" w:rsidRDefault="00155D69" w:rsidP="00DC2569">
      <w:pPr>
        <w:pStyle w:val="Heading4"/>
        <w:spacing w:before="360" w:after="120"/>
        <w:rPr>
          <w:lang w:val="fr-CA"/>
        </w:rPr>
      </w:pPr>
      <w:r>
        <w:rPr>
          <w:lang w:val="fr-CA"/>
        </w:rPr>
        <w:t>EXIGENCES EN MATIÈRE D’ÉTABLISSEMENT DE RAPPORTS</w:t>
      </w:r>
    </w:p>
    <w:p w14:paraId="3FE4EE18" w14:textId="77777777" w:rsidR="00D6488C" w:rsidRPr="00183B38" w:rsidRDefault="00155D69" w:rsidP="00D6488C">
      <w:pPr>
        <w:rPr>
          <w:lang w:val="fr-CA"/>
        </w:rPr>
      </w:pPr>
      <w:r>
        <w:rPr>
          <w:lang w:val="fr-CA"/>
        </w:rPr>
        <w:t>Tout le personnel qui est confronté à un incident impliquant un client avec un animal d’assistance doit le signaler au COR, qui documentera les détails et informera les autorités compétentes.</w:t>
      </w:r>
    </w:p>
    <w:p w14:paraId="1256A12E" w14:textId="77777777" w:rsidR="00907103" w:rsidRDefault="00907103">
      <w:pPr>
        <w:spacing w:after="0"/>
        <w:rPr>
          <w:b/>
          <w:bCs/>
          <w:caps/>
          <w:sz w:val="28"/>
          <w:szCs w:val="28"/>
          <w:lang w:val="fr-CA"/>
        </w:rPr>
      </w:pPr>
      <w:r>
        <w:rPr>
          <w:lang w:val="fr-CA"/>
        </w:rPr>
        <w:br w:type="page"/>
      </w:r>
    </w:p>
    <w:p w14:paraId="4C8EE6AF" w14:textId="6241D35E" w:rsidR="00D418EA" w:rsidRPr="00183B38" w:rsidRDefault="00155D69" w:rsidP="00DC2569">
      <w:pPr>
        <w:pStyle w:val="Heading4"/>
        <w:spacing w:before="360" w:after="120"/>
        <w:rPr>
          <w:lang w:val="fr-CA"/>
        </w:rPr>
      </w:pPr>
      <w:r>
        <w:rPr>
          <w:lang w:val="fr-CA"/>
        </w:rPr>
        <w:lastRenderedPageBreak/>
        <w:t xml:space="preserve">ESCALADES </w:t>
      </w:r>
      <w:r>
        <w:rPr>
          <w:caps w:val="0"/>
          <w:lang w:val="fr-CA"/>
        </w:rPr>
        <w:t xml:space="preserve">ET </w:t>
      </w:r>
      <w:r>
        <w:rPr>
          <w:lang w:val="fr-CA"/>
        </w:rPr>
        <w:t>EXCEPTIONS</w:t>
      </w:r>
    </w:p>
    <w:p w14:paraId="2134AADB" w14:textId="77777777" w:rsidR="000D6A13" w:rsidRPr="00183B38" w:rsidRDefault="00155D69" w:rsidP="00024B9A">
      <w:pPr>
        <w:rPr>
          <w:lang w:val="fr-CA"/>
        </w:rPr>
      </w:pPr>
      <w:r>
        <w:rPr>
          <w:lang w:val="fr-CA"/>
        </w:rPr>
        <w:t>Bien que Metrolinx respecte les exigences de la LAPHO et veille à la conformité avec le Code, cela ne remplace pas les normes de comportement qui sont essentielles à la fois pour la sécurité des clients et pour garantir le fonctionnement sécuritaire d’un véhicule. Si la présence d’un animal d’assistance affecte la sécurité du personnel, des clients ou le fonctionnement du véhicule, le client et son animal d’assistance peuvent être tenus de quitter les services et les propriétés de Metrolinx.</w:t>
      </w:r>
    </w:p>
    <w:p w14:paraId="7C8B60E2" w14:textId="77777777" w:rsidR="4722C96A" w:rsidRPr="00C24E16" w:rsidRDefault="00155D69" w:rsidP="1969088B">
      <w:pPr>
        <w:pStyle w:val="Heading3"/>
        <w:spacing w:before="281" w:after="281"/>
        <w:rPr>
          <w:lang w:val="fr-CA"/>
        </w:rPr>
      </w:pPr>
      <w:r w:rsidRPr="00C24E16">
        <w:rPr>
          <w:rFonts w:cs="Times New Roman"/>
          <w:b/>
          <w:iCs w:val="0"/>
          <w:caps/>
          <w:color w:val="auto"/>
          <w:sz w:val="28"/>
          <w:szCs w:val="28"/>
          <w:lang w:val="fr-CA"/>
        </w:rPr>
        <w:t>Pet Policy (Non–Service Animals)</w:t>
      </w:r>
    </w:p>
    <w:p w14:paraId="0A10A954" w14:textId="77777777" w:rsidR="4722C96A" w:rsidRPr="00183B38" w:rsidRDefault="00155D69" w:rsidP="1969088B">
      <w:pPr>
        <w:spacing w:before="240"/>
        <w:rPr>
          <w:lang w:val="fr-CA"/>
        </w:rPr>
      </w:pPr>
      <w:r>
        <w:rPr>
          <w:rFonts w:eastAsia="Arial" w:cs="Arial"/>
          <w:lang w:val="fr-CA"/>
        </w:rPr>
        <w:t xml:space="preserve">La politique sur les animaux de compagnie de Metrolinx s’applique aux animaux qui </w:t>
      </w:r>
      <w:r>
        <w:rPr>
          <w:rFonts w:eastAsia="Arial" w:cs="Arial"/>
          <w:b/>
          <w:bCs/>
          <w:lang w:val="fr-CA"/>
        </w:rPr>
        <w:t>ne sont pas classés comme animaux d’assistance</w:t>
      </w:r>
      <w:r>
        <w:rPr>
          <w:rFonts w:eastAsia="Arial" w:cs="Arial"/>
          <w:lang w:val="fr-CA"/>
        </w:rPr>
        <w:t>.</w:t>
      </w:r>
    </w:p>
    <w:p w14:paraId="3C3CAC4B" w14:textId="77777777" w:rsidR="4722C96A" w:rsidRPr="00183B38" w:rsidRDefault="00155D69" w:rsidP="1969088B">
      <w:pPr>
        <w:spacing w:before="240"/>
        <w:rPr>
          <w:lang w:val="fr-CA"/>
        </w:rPr>
      </w:pPr>
      <w:r>
        <w:rPr>
          <w:rFonts w:eastAsia="Arial" w:cs="Arial"/>
          <w:lang w:val="fr-CA"/>
        </w:rPr>
        <w:t xml:space="preserve">Les animaux d’assistance sont permis en tout temps et </w:t>
      </w:r>
      <w:r>
        <w:rPr>
          <w:rFonts w:eastAsia="Arial" w:cs="Arial"/>
          <w:b/>
          <w:bCs/>
          <w:lang w:val="fr-CA"/>
        </w:rPr>
        <w:t>ne sont pas soumis aux restrictions énoncées dans la Politique sur les animaux de compagnie</w:t>
      </w:r>
      <w:r>
        <w:rPr>
          <w:rFonts w:eastAsia="Arial" w:cs="Arial"/>
          <w:lang w:val="fr-CA"/>
        </w:rPr>
        <w:t>. Ces restrictions (par exemple, les limites selon l’heure de la journée, les exigences des transporteurs et les directives selon l’emplacement) s’appliquent uniquement aux animaux de compagnie.</w:t>
      </w:r>
    </w:p>
    <w:p w14:paraId="7EAA9C99" w14:textId="77777777" w:rsidR="4722C96A" w:rsidRPr="00183B38" w:rsidRDefault="00155D69" w:rsidP="1969088B">
      <w:pPr>
        <w:spacing w:before="240"/>
        <w:rPr>
          <w:lang w:val="fr-CA"/>
        </w:rPr>
      </w:pPr>
      <w:r>
        <w:rPr>
          <w:rFonts w:eastAsia="Arial" w:cs="Arial"/>
          <w:lang w:val="fr-CA"/>
        </w:rPr>
        <w:t>Le personnel ne doit pas appliquer les règles de la politique sur les animaux de compagnie aux clients voyageant avec des animaux d’assistance.</w:t>
      </w:r>
    </w:p>
    <w:p w14:paraId="7246943D" w14:textId="77777777" w:rsidR="4722C96A" w:rsidRPr="00183B38" w:rsidRDefault="00155D69" w:rsidP="1969088B">
      <w:pPr>
        <w:spacing w:before="240"/>
        <w:rPr>
          <w:lang w:val="fr-CA"/>
        </w:rPr>
      </w:pPr>
      <w:r>
        <w:rPr>
          <w:rFonts w:eastAsia="Arial" w:cs="Arial"/>
          <w:lang w:val="fr-CA"/>
        </w:rPr>
        <w:t>Les clients voyageant avec des animaux de compagnie doivent respecter les exigences énoncées dans la politique sur les animaux de compagnie de Metrolinx.</w:t>
      </w:r>
    </w:p>
    <w:p w14:paraId="18B1CF57" w14:textId="77777777" w:rsidR="00125DFB" w:rsidRDefault="00155D69" w:rsidP="00947305">
      <w:pPr>
        <w:pStyle w:val="Heading4"/>
        <w:spacing w:before="360" w:after="120"/>
      </w:pPr>
      <w:r>
        <w:rPr>
          <w:lang w:val="fr-CA"/>
        </w:rPr>
        <w:t>RÉFÉRENCES</w:t>
      </w:r>
    </w:p>
    <w:p w14:paraId="786BF4B9" w14:textId="77777777" w:rsidR="00CC4AC3" w:rsidRPr="00183B38" w:rsidRDefault="00CC4AC3" w:rsidP="0099084A">
      <w:pPr>
        <w:pStyle w:val="Note"/>
        <w:numPr>
          <w:ilvl w:val="0"/>
          <w:numId w:val="13"/>
        </w:numPr>
        <w:spacing w:after="80"/>
        <w:rPr>
          <w:i/>
          <w:iCs/>
          <w:lang w:val="fr-CA"/>
        </w:rPr>
      </w:pPr>
      <w:hyperlink r:id="rId16" w:history="1">
        <w:r>
          <w:rPr>
            <w:rStyle w:val="Hyperlink"/>
            <w:bCs w:val="0"/>
            <w:i/>
            <w:iCs/>
            <w:u w:val="none"/>
            <w:lang w:val="fr-CA"/>
          </w:rPr>
          <w:t>Loi de 2005 sur l’accessibilité pour les personnes handicapées de l’Ontario</w:t>
        </w:r>
      </w:hyperlink>
    </w:p>
    <w:p w14:paraId="60985F48" w14:textId="77777777" w:rsidR="00C929DD" w:rsidRPr="00183B38" w:rsidRDefault="00C929DD" w:rsidP="00471C87">
      <w:pPr>
        <w:pStyle w:val="Note"/>
        <w:numPr>
          <w:ilvl w:val="0"/>
          <w:numId w:val="13"/>
        </w:numPr>
        <w:spacing w:after="80"/>
        <w:rPr>
          <w:lang w:val="fr-CA"/>
        </w:rPr>
      </w:pPr>
      <w:hyperlink r:id="rId17" w:history="1">
        <w:r>
          <w:rPr>
            <w:rStyle w:val="Hyperlink"/>
            <w:bCs w:val="0"/>
            <w:u w:val="none"/>
            <w:lang w:val="fr-CA"/>
          </w:rPr>
          <w:t xml:space="preserve">La </w:t>
        </w:r>
        <w:r>
          <w:rPr>
            <w:rStyle w:val="Hyperlink"/>
            <w:bCs w:val="0"/>
            <w:i/>
            <w:iCs/>
            <w:u w:val="none"/>
            <w:lang w:val="fr-CA"/>
          </w:rPr>
          <w:t>Loi sur les droits des aveugles</w:t>
        </w:r>
      </w:hyperlink>
    </w:p>
    <w:p w14:paraId="508C3395" w14:textId="77777777" w:rsidR="00CC4AC3" w:rsidRPr="00183B38" w:rsidRDefault="00CC4AC3" w:rsidP="00471C87">
      <w:pPr>
        <w:pStyle w:val="Note"/>
        <w:numPr>
          <w:ilvl w:val="0"/>
          <w:numId w:val="13"/>
        </w:numPr>
        <w:spacing w:after="80"/>
        <w:rPr>
          <w:lang w:val="fr-CA"/>
        </w:rPr>
      </w:pPr>
      <w:hyperlink r:id="rId18" w:history="1">
        <w:r>
          <w:rPr>
            <w:rStyle w:val="Hyperlink"/>
            <w:bCs w:val="0"/>
            <w:i/>
            <w:iCs/>
            <w:u w:val="none"/>
            <w:lang w:val="fr-CA"/>
          </w:rPr>
          <w:t>Code des droits de la personne</w:t>
        </w:r>
        <w:r>
          <w:rPr>
            <w:rStyle w:val="Hyperlink"/>
            <w:bCs w:val="0"/>
            <w:u w:val="none"/>
            <w:lang w:val="fr-CA"/>
          </w:rPr>
          <w:t xml:space="preserve"> de l’Ontario</w:t>
        </w:r>
      </w:hyperlink>
    </w:p>
    <w:p w14:paraId="2DA3C095" w14:textId="24D4F993" w:rsidR="00B64993" w:rsidRPr="00613F81" w:rsidRDefault="00861A11" w:rsidP="00CE063F">
      <w:pPr>
        <w:pStyle w:val="Note"/>
        <w:numPr>
          <w:ilvl w:val="0"/>
          <w:numId w:val="13"/>
        </w:numPr>
        <w:spacing w:after="80"/>
        <w:rPr>
          <w:lang w:val="fr-CA"/>
        </w:rPr>
      </w:pPr>
      <w:r w:rsidRPr="00EA12BF">
        <w:rPr>
          <w:bCs w:val="0"/>
          <w:lang w:val="fr-CA"/>
        </w:rPr>
        <w:t>Politique sur les animaux de compagnie (Bulletin d’information sur les opérations des autobus 22-251)</w:t>
      </w:r>
    </w:p>
    <w:p w14:paraId="4B4C4AE8" w14:textId="77777777" w:rsidR="00B64993" w:rsidRPr="00613F81" w:rsidRDefault="00B64993">
      <w:pPr>
        <w:spacing w:after="0"/>
        <w:rPr>
          <w:lang w:val="fr-CA"/>
        </w:rPr>
      </w:pPr>
      <w:r w:rsidRPr="00613F81">
        <w:rPr>
          <w:lang w:val="fr-CA"/>
        </w:rPr>
        <w:br w:type="page"/>
      </w:r>
    </w:p>
    <w:p w14:paraId="03745C71" w14:textId="77777777" w:rsidR="0008726E" w:rsidRPr="00D3279A" w:rsidRDefault="00155D69" w:rsidP="00B64993">
      <w:pPr>
        <w:pStyle w:val="Heading4"/>
        <w:spacing w:after="120"/>
      </w:pPr>
      <w:bookmarkStart w:id="5" w:name="_Hlk71103508"/>
      <w:r>
        <w:rPr>
          <w:lang w:val="fr-CA"/>
        </w:rPr>
        <w:lastRenderedPageBreak/>
        <w:t>DÉFINITIONS</w:t>
      </w:r>
      <w:bookmarkEnd w:id="5"/>
    </w:p>
    <w:p w14:paraId="220B0FBA" w14:textId="77777777" w:rsidR="004F2657" w:rsidRPr="00183B38" w:rsidRDefault="00155D69" w:rsidP="004F2657">
      <w:pPr>
        <w:pStyle w:val="Note"/>
        <w:numPr>
          <w:ilvl w:val="0"/>
          <w:numId w:val="17"/>
        </w:numPr>
        <w:rPr>
          <w:lang w:val="fr-CA"/>
        </w:rPr>
      </w:pPr>
      <w:r>
        <w:rPr>
          <w:b/>
          <w:lang w:val="fr-CA"/>
        </w:rPr>
        <w:t>LAPHO</w:t>
      </w:r>
      <w:r>
        <w:rPr>
          <w:bCs w:val="0"/>
          <w:lang w:val="fr-CA"/>
        </w:rPr>
        <w:t xml:space="preserve"> – </w:t>
      </w:r>
      <w:r>
        <w:rPr>
          <w:bCs w:val="0"/>
          <w:i/>
          <w:iCs/>
          <w:lang w:val="fr-CA"/>
        </w:rPr>
        <w:t>Loi de 2005 sur l’accessibilité pour les personnes handicapées de l’Ontario</w:t>
      </w:r>
      <w:r>
        <w:rPr>
          <w:bCs w:val="0"/>
          <w:lang w:val="fr-CA"/>
        </w:rPr>
        <w:t>, qui énonce les exigences pour que les entreprises accueillent légalement les personnes handicapées.</w:t>
      </w:r>
    </w:p>
    <w:p w14:paraId="1D6720A6" w14:textId="77777777" w:rsidR="00524A91" w:rsidRPr="00183B38" w:rsidRDefault="00155D69" w:rsidP="00B64993">
      <w:pPr>
        <w:pStyle w:val="Note"/>
        <w:numPr>
          <w:ilvl w:val="0"/>
          <w:numId w:val="17"/>
        </w:numPr>
        <w:spacing w:after="120"/>
        <w:rPr>
          <w:b/>
          <w:lang w:val="fr-CA"/>
        </w:rPr>
      </w:pPr>
      <w:r>
        <w:rPr>
          <w:rStyle w:val="Strong"/>
          <w:bCs/>
          <w:lang w:val="fr-CA"/>
        </w:rPr>
        <w:t>Comportement perturbateur (animal d’assistance)</w:t>
      </w:r>
      <w:r>
        <w:rPr>
          <w:b/>
          <w:lang w:val="fr-CA"/>
        </w:rPr>
        <w:t xml:space="preserve"> </w:t>
      </w:r>
      <w:r>
        <w:rPr>
          <w:bCs w:val="0"/>
          <w:lang w:val="fr-CA"/>
        </w:rPr>
        <w:t>– Le comportement perturbateur fait référence à toute action d’un animal d’assistance qui interfère avec le fonctionnement sécuritaire des véhicules de Metrolinx, le confort des autres clients ou la capacité du personnel à fournir des services. Des exemples de comportements perturbateurs peuvent inclure, mais ne sont pas limités à :</w:t>
      </w:r>
    </w:p>
    <w:p w14:paraId="185C3E20" w14:textId="77777777" w:rsidR="00524A91" w:rsidRPr="00ED58AA" w:rsidRDefault="00155D69" w:rsidP="00524A91">
      <w:pPr>
        <w:pStyle w:val="NormalWeb"/>
        <w:numPr>
          <w:ilvl w:val="0"/>
          <w:numId w:val="18"/>
        </w:numPr>
        <w:spacing w:before="0" w:beforeAutospacing="0" w:after="120" w:afterAutospacing="0"/>
        <w:rPr>
          <w:rFonts w:ascii="Arial" w:hAnsi="Arial"/>
          <w:bCs/>
        </w:rPr>
      </w:pPr>
      <w:r>
        <w:rPr>
          <w:rFonts w:ascii="Arial" w:hAnsi="Arial"/>
          <w:lang w:val="fr-CA"/>
        </w:rPr>
        <w:t>Aboiements excessifs, gémissements ou vocalisations</w:t>
      </w:r>
    </w:p>
    <w:p w14:paraId="25C7FF7C" w14:textId="77777777" w:rsidR="00524A91" w:rsidRPr="00183B38" w:rsidRDefault="00155D69" w:rsidP="00524A91">
      <w:pPr>
        <w:pStyle w:val="NormalWeb"/>
        <w:numPr>
          <w:ilvl w:val="0"/>
          <w:numId w:val="18"/>
        </w:numPr>
        <w:spacing w:before="0" w:beforeAutospacing="0" w:after="120" w:afterAutospacing="0"/>
        <w:rPr>
          <w:rFonts w:ascii="Arial" w:hAnsi="Arial"/>
          <w:bCs/>
          <w:lang w:val="fr-CA"/>
        </w:rPr>
      </w:pPr>
      <w:r>
        <w:rPr>
          <w:rFonts w:ascii="Arial" w:hAnsi="Arial"/>
          <w:lang w:val="fr-CA"/>
        </w:rPr>
        <w:t>Sauter sur ou pousser d’autres passagers</w:t>
      </w:r>
    </w:p>
    <w:p w14:paraId="04A0F1D2" w14:textId="77777777" w:rsidR="00524A91" w:rsidRPr="00183B38" w:rsidRDefault="00155D69" w:rsidP="00524A91">
      <w:pPr>
        <w:pStyle w:val="NormalWeb"/>
        <w:numPr>
          <w:ilvl w:val="0"/>
          <w:numId w:val="18"/>
        </w:numPr>
        <w:spacing w:before="0" w:beforeAutospacing="0" w:after="120" w:afterAutospacing="0"/>
        <w:rPr>
          <w:rFonts w:ascii="Arial" w:hAnsi="Arial"/>
          <w:bCs/>
          <w:lang w:val="fr-CA"/>
        </w:rPr>
      </w:pPr>
      <w:r>
        <w:rPr>
          <w:rFonts w:ascii="Arial" w:hAnsi="Arial"/>
          <w:lang w:val="fr-CA"/>
        </w:rPr>
        <w:t>Bloquer les allées, les portes ou les sorties de secours</w:t>
      </w:r>
    </w:p>
    <w:p w14:paraId="2D69BA7D" w14:textId="77777777" w:rsidR="00524A91" w:rsidRPr="00183B38" w:rsidRDefault="00155D69" w:rsidP="00524A91">
      <w:pPr>
        <w:pStyle w:val="NormalWeb"/>
        <w:numPr>
          <w:ilvl w:val="0"/>
          <w:numId w:val="18"/>
        </w:numPr>
        <w:spacing w:before="0" w:beforeAutospacing="0" w:after="120" w:afterAutospacing="0"/>
        <w:rPr>
          <w:rFonts w:ascii="Arial" w:hAnsi="Arial"/>
          <w:bCs/>
          <w:lang w:val="fr-CA"/>
        </w:rPr>
      </w:pPr>
      <w:r>
        <w:rPr>
          <w:rFonts w:ascii="Arial" w:hAnsi="Arial"/>
          <w:lang w:val="fr-CA"/>
        </w:rPr>
        <w:t>Des actions agressives telles que grogner, se jeter ou mordre</w:t>
      </w:r>
    </w:p>
    <w:p w14:paraId="4C2425E6" w14:textId="77777777" w:rsidR="00524A91" w:rsidRPr="00183B38" w:rsidRDefault="00155D69" w:rsidP="00524A91">
      <w:pPr>
        <w:pStyle w:val="NormalWeb"/>
        <w:numPr>
          <w:ilvl w:val="0"/>
          <w:numId w:val="18"/>
        </w:numPr>
        <w:spacing w:before="0" w:beforeAutospacing="0" w:after="120" w:afterAutospacing="0"/>
        <w:rPr>
          <w:rFonts w:ascii="Arial" w:hAnsi="Arial"/>
          <w:bCs/>
          <w:lang w:val="fr-CA"/>
        </w:rPr>
      </w:pPr>
      <w:r>
        <w:rPr>
          <w:rFonts w:ascii="Arial" w:hAnsi="Arial"/>
          <w:lang w:val="fr-CA"/>
        </w:rPr>
        <w:t>Refus de rester sous le contrôle du maître (par exemple, ne pas répondre à la laisse ou au harnais)</w:t>
      </w:r>
    </w:p>
    <w:p w14:paraId="21CED640" w14:textId="77777777" w:rsidR="00524A91" w:rsidRPr="00183B38" w:rsidRDefault="00155D69" w:rsidP="00524A91">
      <w:pPr>
        <w:pStyle w:val="NormalWeb"/>
        <w:numPr>
          <w:ilvl w:val="0"/>
          <w:numId w:val="18"/>
        </w:numPr>
        <w:spacing w:before="0" w:beforeAutospacing="0" w:after="240" w:afterAutospacing="0"/>
        <w:rPr>
          <w:rFonts w:ascii="Arial" w:hAnsi="Arial"/>
          <w:bCs/>
          <w:lang w:val="fr-CA"/>
        </w:rPr>
      </w:pPr>
      <w:r>
        <w:rPr>
          <w:rFonts w:ascii="Arial" w:hAnsi="Arial"/>
          <w:lang w:val="fr-CA"/>
        </w:rPr>
        <w:t>Comportement qui présente un risque pour la santé, la sécurité ou l’hygiène des clients, du personnel ou d’autres animaux.</w:t>
      </w:r>
    </w:p>
    <w:p w14:paraId="16FE2C18" w14:textId="41C83DE4" w:rsidR="009B279B" w:rsidRPr="00183B38" w:rsidRDefault="00155D69" w:rsidP="1969088B">
      <w:pPr>
        <w:pStyle w:val="Note"/>
        <w:numPr>
          <w:ilvl w:val="0"/>
          <w:numId w:val="17"/>
        </w:numPr>
        <w:rPr>
          <w:rFonts w:eastAsia="Arial" w:cs="Arial"/>
          <w:color w:val="000000" w:themeColor="text1"/>
          <w:lang w:val="fr-CA"/>
        </w:rPr>
      </w:pPr>
      <w:r>
        <w:rPr>
          <w:b/>
          <w:lang w:val="fr-CA"/>
        </w:rPr>
        <w:t xml:space="preserve">CDPO – </w:t>
      </w:r>
      <w:r>
        <w:rPr>
          <w:bCs w:val="0"/>
          <w:lang w:val="fr-CA"/>
        </w:rPr>
        <w:t>Le Code des droits de la personne de</w:t>
      </w:r>
      <w:r>
        <w:rPr>
          <w:b/>
          <w:lang w:val="fr-CA"/>
        </w:rPr>
        <w:t xml:space="preserve"> </w:t>
      </w:r>
      <w:r>
        <w:rPr>
          <w:bCs w:val="0"/>
          <w:lang w:val="fr-CA"/>
        </w:rPr>
        <w:t>l’Ontario</w:t>
      </w:r>
      <w:r>
        <w:rPr>
          <w:b/>
          <w:lang w:val="fr-CA"/>
        </w:rPr>
        <w:t xml:space="preserve"> interdit les actes discriminatoires à l’égard des personnes sur la base d’un motif protégé dans un domaine social protégé.</w:t>
      </w:r>
    </w:p>
    <w:p w14:paraId="2FEE5C34" w14:textId="77777777" w:rsidR="009B279B" w:rsidRPr="00183B38" w:rsidRDefault="00155D69" w:rsidP="00B64993">
      <w:pPr>
        <w:pStyle w:val="Note"/>
        <w:numPr>
          <w:ilvl w:val="0"/>
          <w:numId w:val="17"/>
        </w:numPr>
        <w:spacing w:after="120"/>
        <w:rPr>
          <w:rFonts w:eastAsia="Arial" w:cs="Arial"/>
          <w:color w:val="000000" w:themeColor="text1"/>
          <w:lang w:val="fr-CA"/>
        </w:rPr>
      </w:pPr>
      <w:r>
        <w:rPr>
          <w:rFonts w:eastAsia="Arial" w:cs="Arial"/>
          <w:bCs w:val="0"/>
          <w:color w:val="000000" w:themeColor="text1"/>
          <w:lang w:val="fr-CA"/>
        </w:rPr>
        <w:t xml:space="preserve">Les </w:t>
      </w:r>
      <w:r>
        <w:rPr>
          <w:rFonts w:eastAsia="Arial" w:cs="Arial"/>
          <w:b/>
          <w:color w:val="000000" w:themeColor="text1"/>
          <w:lang w:val="fr-CA"/>
        </w:rPr>
        <w:t>animaux</w:t>
      </w:r>
      <w:r>
        <w:rPr>
          <w:rFonts w:eastAsia="Arial" w:cs="Arial"/>
          <w:bCs w:val="0"/>
          <w:color w:val="000000" w:themeColor="text1"/>
          <w:lang w:val="fr-CA"/>
        </w:rPr>
        <w:t xml:space="preserve"> </w:t>
      </w:r>
      <w:r>
        <w:rPr>
          <w:rFonts w:eastAsia="Arial" w:cs="Arial"/>
          <w:b/>
          <w:color w:val="000000" w:themeColor="text1"/>
          <w:lang w:val="fr-CA"/>
        </w:rPr>
        <w:t xml:space="preserve">d’assistance </w:t>
      </w:r>
      <w:r>
        <w:rPr>
          <w:rFonts w:eastAsia="Arial" w:cs="Arial"/>
          <w:bCs w:val="0"/>
          <w:color w:val="000000" w:themeColor="text1"/>
          <w:lang w:val="fr-CA"/>
        </w:rPr>
        <w:t>sont des animaux, souvent mais pas exclusivement des chiens, qui sont entraînés ou utilisés pour aider les personnes handicapées. Les animaux d’assistance accomplissent de nombreuses tâches, y compris, mais sans s’y limiter :</w:t>
      </w:r>
    </w:p>
    <w:p w14:paraId="6653F54E" w14:textId="77777777" w:rsidR="009B279B" w:rsidRPr="00183B38" w:rsidRDefault="00155D69" w:rsidP="00B64993">
      <w:pPr>
        <w:pStyle w:val="Note"/>
        <w:numPr>
          <w:ilvl w:val="1"/>
          <w:numId w:val="23"/>
        </w:numPr>
        <w:spacing w:after="120"/>
        <w:rPr>
          <w:rFonts w:eastAsia="Arial" w:cs="Arial"/>
          <w:color w:val="000000" w:themeColor="text1"/>
          <w:lang w:val="fr-CA"/>
        </w:rPr>
      </w:pPr>
      <w:r>
        <w:rPr>
          <w:rFonts w:eastAsia="Arial" w:cs="Arial"/>
          <w:bCs w:val="0"/>
          <w:color w:val="000000" w:themeColor="text1"/>
          <w:lang w:val="fr-CA"/>
        </w:rPr>
        <w:t>Guider une personne aveugle ou ayant une perte de vision autour des obstacles</w:t>
      </w:r>
    </w:p>
    <w:p w14:paraId="3DF696F0" w14:textId="77777777" w:rsidR="009B279B" w:rsidRPr="00183B38" w:rsidRDefault="00155D69" w:rsidP="00B64993">
      <w:pPr>
        <w:pStyle w:val="Note"/>
        <w:numPr>
          <w:ilvl w:val="1"/>
          <w:numId w:val="23"/>
        </w:numPr>
        <w:spacing w:after="120"/>
        <w:rPr>
          <w:rFonts w:eastAsia="Arial" w:cs="Arial"/>
          <w:color w:val="000000" w:themeColor="text1"/>
          <w:lang w:val="fr-CA"/>
        </w:rPr>
      </w:pPr>
      <w:r>
        <w:rPr>
          <w:rFonts w:eastAsia="Arial" w:cs="Arial"/>
          <w:bCs w:val="0"/>
          <w:color w:val="000000" w:themeColor="text1"/>
          <w:lang w:val="fr-CA"/>
        </w:rPr>
        <w:t>Alerter une personne diabétique d’un faible taux de sucre dans le sang</w:t>
      </w:r>
    </w:p>
    <w:p w14:paraId="38095AB7" w14:textId="77777777" w:rsidR="009B279B" w:rsidRPr="00183B38" w:rsidRDefault="00155D69" w:rsidP="00B64993">
      <w:pPr>
        <w:pStyle w:val="Note"/>
        <w:numPr>
          <w:ilvl w:val="1"/>
          <w:numId w:val="23"/>
        </w:numPr>
        <w:spacing w:after="120"/>
        <w:rPr>
          <w:rFonts w:eastAsia="Arial" w:cs="Arial"/>
          <w:color w:val="000000" w:themeColor="text1"/>
          <w:lang w:val="fr-CA"/>
        </w:rPr>
      </w:pPr>
      <w:r>
        <w:rPr>
          <w:rFonts w:eastAsia="Arial" w:cs="Arial"/>
          <w:bCs w:val="0"/>
          <w:color w:val="000000" w:themeColor="text1"/>
          <w:lang w:val="fr-CA"/>
        </w:rPr>
        <w:t>Protéger une personne épileptique pendant une crise</w:t>
      </w:r>
    </w:p>
    <w:p w14:paraId="59E9FD0A" w14:textId="77777777" w:rsidR="009B279B" w:rsidRPr="00183B38" w:rsidRDefault="00155D69" w:rsidP="00B64993">
      <w:pPr>
        <w:pStyle w:val="Note"/>
        <w:numPr>
          <w:ilvl w:val="1"/>
          <w:numId w:val="23"/>
        </w:numPr>
        <w:spacing w:after="120"/>
        <w:rPr>
          <w:rFonts w:eastAsia="Arial" w:cs="Arial"/>
          <w:color w:val="000000" w:themeColor="text1"/>
          <w:lang w:val="fr-CA"/>
        </w:rPr>
      </w:pPr>
      <w:r>
        <w:rPr>
          <w:rFonts w:eastAsia="Arial" w:cs="Arial"/>
          <w:bCs w:val="0"/>
          <w:color w:val="000000" w:themeColor="text1"/>
          <w:lang w:val="fr-CA"/>
        </w:rPr>
        <w:t>Calmer une personne autiste dans un environnement avec stimulation sensorielle</w:t>
      </w:r>
    </w:p>
    <w:p w14:paraId="009D4B51" w14:textId="77777777" w:rsidR="009B279B" w:rsidRPr="00183B38" w:rsidRDefault="00155D69" w:rsidP="00B64993">
      <w:pPr>
        <w:pStyle w:val="Note"/>
        <w:numPr>
          <w:ilvl w:val="1"/>
          <w:numId w:val="23"/>
        </w:numPr>
        <w:spacing w:after="120"/>
        <w:rPr>
          <w:rFonts w:eastAsia="Arial" w:cs="Arial"/>
          <w:color w:val="000000" w:themeColor="text1"/>
          <w:lang w:val="fr-CA"/>
        </w:rPr>
      </w:pPr>
      <w:r>
        <w:rPr>
          <w:rFonts w:eastAsia="Arial" w:cs="Arial"/>
          <w:bCs w:val="0"/>
          <w:color w:val="000000" w:themeColor="text1"/>
          <w:lang w:val="fr-CA"/>
        </w:rPr>
        <w:t>Récupérer des objets hors de portée pour une personne handicapée</w:t>
      </w:r>
    </w:p>
    <w:p w14:paraId="2D5F1E5F" w14:textId="77777777" w:rsidR="009B279B" w:rsidRPr="00183B38" w:rsidRDefault="00155D69" w:rsidP="00B64993">
      <w:pPr>
        <w:pStyle w:val="Note"/>
        <w:numPr>
          <w:ilvl w:val="1"/>
          <w:numId w:val="23"/>
        </w:numPr>
        <w:rPr>
          <w:rFonts w:eastAsia="Arial" w:cs="Arial"/>
          <w:color w:val="000000" w:themeColor="text1"/>
          <w:lang w:val="fr-CA"/>
        </w:rPr>
      </w:pPr>
      <w:r>
        <w:rPr>
          <w:rFonts w:eastAsia="Arial" w:cs="Arial"/>
          <w:bCs w:val="0"/>
          <w:color w:val="000000" w:themeColor="text1"/>
          <w:lang w:val="fr-CA"/>
        </w:rPr>
        <w:t>Alerter un gestionnaire qui est sourd ou malentendant au sujet de sons</w:t>
      </w:r>
    </w:p>
    <w:p w14:paraId="351CE1FA" w14:textId="77777777" w:rsidR="009B279B" w:rsidRPr="00183B38" w:rsidRDefault="00155D69" w:rsidP="00B64993">
      <w:pPr>
        <w:pStyle w:val="Note"/>
        <w:ind w:left="0" w:firstLine="0"/>
        <w:jc w:val="both"/>
        <w:rPr>
          <w:rFonts w:eastAsia="Arial" w:cs="Arial"/>
          <w:color w:val="000000" w:themeColor="text1"/>
          <w:lang w:val="fr-CA"/>
        </w:rPr>
      </w:pPr>
      <w:r>
        <w:rPr>
          <w:rFonts w:eastAsia="Arial" w:cs="Arial"/>
          <w:bCs w:val="0"/>
          <w:lang w:val="fr-CA"/>
        </w:rPr>
        <w:t xml:space="preserve">La </w:t>
      </w:r>
      <w:r w:rsidRPr="00B64993">
        <w:rPr>
          <w:rFonts w:eastAsia="Arial" w:cs="Arial"/>
          <w:bCs w:val="0"/>
          <w:i/>
          <w:iCs/>
          <w:lang w:val="fr-CA"/>
        </w:rPr>
        <w:t>Loi de 2005 sur l’accessibilité pour les personnes handicapées de l’Ontario</w:t>
      </w:r>
      <w:r>
        <w:rPr>
          <w:rFonts w:eastAsia="Arial" w:cs="Arial"/>
          <w:bCs w:val="0"/>
          <w:lang w:val="fr-CA"/>
        </w:rPr>
        <w:t xml:space="preserve"> (la LAPHO) ne prescrit pas quelles fonctions, telles que celles mentionnées ci-</w:t>
      </w:r>
      <w:proofErr w:type="gramStart"/>
      <w:r>
        <w:rPr>
          <w:rFonts w:eastAsia="Arial" w:cs="Arial"/>
          <w:bCs w:val="0"/>
          <w:lang w:val="fr-CA"/>
        </w:rPr>
        <w:t>dessus,</w:t>
      </w:r>
      <w:r>
        <w:rPr>
          <w:rFonts w:eastAsia="Arial" w:cs="Arial"/>
          <w:bCs w:val="0"/>
          <w:color w:val="000000" w:themeColor="text1"/>
          <w:lang w:val="fr-CA"/>
        </w:rPr>
        <w:t>un</w:t>
      </w:r>
      <w:proofErr w:type="gramEnd"/>
      <w:r>
        <w:rPr>
          <w:rFonts w:eastAsia="Arial" w:cs="Arial"/>
          <w:bCs w:val="0"/>
          <w:color w:val="000000" w:themeColor="text1"/>
          <w:lang w:val="fr-CA"/>
        </w:rPr>
        <w:t xml:space="preserve"> animal d’assistance pourrait fournir.</w:t>
      </w:r>
    </w:p>
    <w:p w14:paraId="59F2C42C" w14:textId="77777777" w:rsidR="009B279B" w:rsidRPr="00183B38" w:rsidRDefault="00155D69" w:rsidP="009B279B">
      <w:pPr>
        <w:tabs>
          <w:tab w:val="left" w:pos="8391"/>
        </w:tabs>
        <w:rPr>
          <w:lang w:val="fr-CA"/>
        </w:rPr>
      </w:pPr>
      <w:r>
        <w:rPr>
          <w:lang w:val="fr-CA"/>
        </w:rPr>
        <w:tab/>
      </w:r>
    </w:p>
    <w:sectPr w:rsidR="009B279B" w:rsidRPr="00183B38" w:rsidSect="00811A29">
      <w:headerReference w:type="even" r:id="rId19"/>
      <w:headerReference w:type="default" r:id="rId20"/>
      <w:footerReference w:type="even" r:id="rId21"/>
      <w:footerReference w:type="default" r:id="rId22"/>
      <w:footerReference w:type="first" r:id="rId23"/>
      <w:pgSz w:w="12240" w:h="15840" w:code="1"/>
      <w:pgMar w:top="720" w:right="1080" w:bottom="36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9E18" w14:textId="77777777" w:rsidR="00155D69" w:rsidRDefault="00155D69">
      <w:pPr>
        <w:spacing w:after="0"/>
      </w:pPr>
      <w:r>
        <w:separator/>
      </w:r>
    </w:p>
  </w:endnote>
  <w:endnote w:type="continuationSeparator" w:id="0">
    <w:p w14:paraId="774769DA" w14:textId="77777777" w:rsidR="00155D69" w:rsidRDefault="00155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20B0503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23E1" w14:textId="77777777" w:rsidR="00194BEC" w:rsidRDefault="00155D69" w:rsidP="00194BEC">
    <w:pPr>
      <w:pStyle w:val="Footer"/>
    </w:pPr>
    <w:r>
      <w:rPr>
        <w:noProof/>
        <w:lang w:val="fr-CA"/>
      </w:rPr>
      <w:drawing>
        <wp:inline distT="0" distB="0" distL="0" distR="0" wp14:anchorId="5E9E9A8B" wp14:editId="059BB638">
          <wp:extent cx="6492240" cy="3632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ar letter size BK.png"/>
                  <pic:cNvPicPr/>
                </pic:nvPicPr>
                <pic:blipFill>
                  <a:blip r:embed="rId1" cstate="print">
                    <a:extLst>
                      <a:ext uri="{28A0092B-C50C-407E-A947-70E740481C1C}">
                        <a14:useLocalDpi xmlns:a14="http://schemas.microsoft.com/office/drawing/2010/main" val="0"/>
                      </a:ext>
                    </a:extLst>
                  </a:blip>
                  <a:srcRect l="2251" t="20797" r="1726" b="17714"/>
                  <a:stretch>
                    <a:fillRect/>
                  </a:stretch>
                </pic:blipFill>
                <pic:spPr bwMode="auto">
                  <a:xfrm>
                    <a:off x="0" y="0"/>
                    <a:ext cx="6492240" cy="36320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29" w:type="dxa"/>
      </w:tblCellMar>
      <w:tblLook w:val="04A0" w:firstRow="1" w:lastRow="0" w:firstColumn="1" w:lastColumn="0" w:noHBand="0" w:noVBand="1"/>
    </w:tblPr>
    <w:tblGrid>
      <w:gridCol w:w="899"/>
      <w:gridCol w:w="4135"/>
      <w:gridCol w:w="2517"/>
      <w:gridCol w:w="2529"/>
    </w:tblGrid>
    <w:tr w:rsidR="008B65AE" w14:paraId="5E9FBE4C" w14:textId="77777777" w:rsidTr="00D946CC">
      <w:trPr>
        <w:trHeight w:val="352"/>
      </w:trPr>
      <w:tc>
        <w:tcPr>
          <w:tcW w:w="918" w:type="dxa"/>
          <w:vAlign w:val="center"/>
        </w:tcPr>
        <w:p w14:paraId="165B4D00" w14:textId="77777777" w:rsidR="00194BEC" w:rsidRPr="0017421E" w:rsidRDefault="00194BEC" w:rsidP="00D946CC">
          <w:pPr>
            <w:pStyle w:val="FooterEven"/>
            <w:rPr>
              <w:sz w:val="16"/>
            </w:rPr>
          </w:pPr>
        </w:p>
      </w:tc>
      <w:tc>
        <w:tcPr>
          <w:tcW w:w="4230" w:type="dxa"/>
          <w:vAlign w:val="center"/>
        </w:tcPr>
        <w:p w14:paraId="47A5BFCF" w14:textId="77777777" w:rsidR="00194BEC" w:rsidRPr="0017421E" w:rsidRDefault="00194BEC" w:rsidP="00D946CC">
          <w:pPr>
            <w:pStyle w:val="Footer"/>
            <w:rPr>
              <w:sz w:val="16"/>
            </w:rPr>
          </w:pPr>
        </w:p>
      </w:tc>
      <w:tc>
        <w:tcPr>
          <w:tcW w:w="2574" w:type="dxa"/>
          <w:vAlign w:val="center"/>
        </w:tcPr>
        <w:p w14:paraId="3CBC34A0" w14:textId="77777777" w:rsidR="00194BEC" w:rsidRPr="0017421E" w:rsidRDefault="00194BEC" w:rsidP="00D946CC">
          <w:pPr>
            <w:pStyle w:val="Footer"/>
            <w:rPr>
              <w:sz w:val="16"/>
            </w:rPr>
          </w:pPr>
        </w:p>
      </w:tc>
      <w:tc>
        <w:tcPr>
          <w:tcW w:w="2574" w:type="dxa"/>
          <w:vAlign w:val="center"/>
        </w:tcPr>
        <w:p w14:paraId="1B3BC275" w14:textId="77777777" w:rsidR="00194BEC" w:rsidRPr="0017421E" w:rsidRDefault="00155D69" w:rsidP="00D946CC">
          <w:pPr>
            <w:pStyle w:val="FooterEven"/>
            <w:jc w:val="right"/>
            <w:rPr>
              <w:sz w:val="16"/>
            </w:rPr>
          </w:pPr>
          <w:r>
            <w:rPr>
              <w:sz w:val="16"/>
              <w:lang w:val="fr-CA"/>
            </w:rPr>
            <w:fldChar w:fldCharType="begin"/>
          </w:r>
          <w:r>
            <w:rPr>
              <w:sz w:val="16"/>
              <w:lang w:val="fr-CA"/>
            </w:rPr>
            <w:instrText xml:space="preserve"> DOCPROPERTY "Manual Code"  \* MERGEFORMAT </w:instrText>
          </w:r>
          <w:r>
            <w:rPr>
              <w:sz w:val="16"/>
              <w:lang w:val="fr-CA"/>
            </w:rPr>
            <w:fldChar w:fldCharType="separate"/>
          </w:r>
          <w:r>
            <w:rPr>
              <w:sz w:val="16"/>
              <w:lang w:val="fr-CA"/>
            </w:rPr>
            <w:t>300WP</w:t>
          </w:r>
          <w:r>
            <w:rPr>
              <w:sz w:val="16"/>
              <w:lang w:val="fr-CA"/>
            </w:rPr>
            <w:fldChar w:fldCharType="end"/>
          </w:r>
        </w:p>
      </w:tc>
    </w:tr>
  </w:tbl>
  <w:p w14:paraId="31544180" w14:textId="77777777" w:rsidR="0015200B" w:rsidRPr="00194BEC" w:rsidRDefault="0015200B" w:rsidP="00194BEC">
    <w:pPr>
      <w:pStyle w:val="Footer"/>
      <w:spacing w:line="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A803" w14:textId="77777777" w:rsidR="006B73B4" w:rsidRDefault="006B73B4" w:rsidP="00F43879">
    <w:pPr>
      <w:pStyle w:val="Footer"/>
      <w:spacing w:line="140" w:lineRule="exact"/>
    </w:pPr>
  </w:p>
  <w:tbl>
    <w:tblPr>
      <w:tblW w:w="5000" w:type="pct"/>
      <w:tblBorders>
        <w:top w:val="single" w:sz="6" w:space="0" w:color="auto"/>
        <w:insideV w:val="single" w:sz="6" w:space="0" w:color="auto"/>
      </w:tblBorders>
      <w:tblCellMar>
        <w:top w:w="60" w:type="dxa"/>
        <w:left w:w="0" w:type="dxa"/>
        <w:right w:w="0" w:type="dxa"/>
      </w:tblCellMar>
      <w:tblLook w:val="04A0" w:firstRow="1" w:lastRow="0" w:firstColumn="1" w:lastColumn="0" w:noHBand="0" w:noVBand="1"/>
    </w:tblPr>
    <w:tblGrid>
      <w:gridCol w:w="3253"/>
      <w:gridCol w:w="6827"/>
    </w:tblGrid>
    <w:tr w:rsidR="008B65AE" w14:paraId="1AAE0EE8" w14:textId="77777777" w:rsidTr="009265B5">
      <w:trPr>
        <w:trHeight w:hRule="exact" w:val="435"/>
      </w:trPr>
      <w:tc>
        <w:tcPr>
          <w:tcW w:w="3253" w:type="dxa"/>
          <w:tcBorders>
            <w:top w:val="single" w:sz="6" w:space="0" w:color="1A1A1A"/>
            <w:right w:val="nil"/>
          </w:tcBorders>
          <w:vAlign w:val="center"/>
        </w:tcPr>
        <w:p w14:paraId="478D3F93" w14:textId="77777777" w:rsidR="002C2DF6" w:rsidRPr="00A13413" w:rsidRDefault="00155D69" w:rsidP="00D946CC">
          <w:pPr>
            <w:spacing w:after="0"/>
            <w:rPr>
              <w:b/>
              <w:sz w:val="16"/>
              <w:szCs w:val="16"/>
            </w:rPr>
          </w:pPr>
          <w:r>
            <w:rPr>
              <w:b/>
              <w:bCs/>
              <w:noProof/>
              <w:sz w:val="16"/>
              <w:szCs w:val="16"/>
              <w:lang w:val="fr-CA"/>
            </w:rPr>
            <w:drawing>
              <wp:inline distT="0" distB="0" distL="0" distR="0" wp14:anchorId="41AA2F27" wp14:editId="38DFB679">
                <wp:extent cx="1143000" cy="105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trolinx_Logo_EMF_2000.emf"/>
                        <pic:cNvPicPr/>
                      </pic:nvPicPr>
                      <pic:blipFill>
                        <a:blip r:embed="rId1">
                          <a:extLst>
                            <a:ext uri="{28A0092B-C50C-407E-A947-70E740481C1C}">
                              <a14:useLocalDpi xmlns:a14="http://schemas.microsoft.com/office/drawing/2010/main" val="0"/>
                            </a:ext>
                          </a:extLst>
                        </a:blip>
                        <a:stretch>
                          <a:fillRect/>
                        </a:stretch>
                      </pic:blipFill>
                      <pic:spPr>
                        <a:xfrm>
                          <a:off x="0" y="0"/>
                          <a:ext cx="1143000" cy="105615"/>
                        </a:xfrm>
                        <a:prstGeom prst="rect">
                          <a:avLst/>
                        </a:prstGeom>
                      </pic:spPr>
                    </pic:pic>
                  </a:graphicData>
                </a:graphic>
              </wp:inline>
            </w:drawing>
          </w:r>
        </w:p>
      </w:tc>
      <w:tc>
        <w:tcPr>
          <w:tcW w:w="6827" w:type="dxa"/>
          <w:tcBorders>
            <w:top w:val="single" w:sz="6" w:space="0" w:color="1A1A1A"/>
            <w:left w:val="nil"/>
          </w:tcBorders>
          <w:tcMar>
            <w:right w:w="72" w:type="dxa"/>
          </w:tcMar>
          <w:vAlign w:val="center"/>
        </w:tcPr>
        <w:p w14:paraId="10CCC4FE" w14:textId="77777777" w:rsidR="002C2DF6" w:rsidRPr="00053D5E" w:rsidRDefault="00155D69" w:rsidP="00D946CC">
          <w:pPr>
            <w:pStyle w:val="Footer"/>
            <w:jc w:val="right"/>
          </w:pPr>
          <w:r>
            <w:rPr>
              <w:sz w:val="16"/>
              <w:lang w:val="fr-CA"/>
            </w:rPr>
            <w:fldChar w:fldCharType="begin"/>
          </w:r>
          <w:r>
            <w:rPr>
              <w:sz w:val="16"/>
              <w:lang w:val="fr-CA"/>
            </w:rPr>
            <w:instrText xml:space="preserve"> DOCPROPERTY "Manual Code"  \* MERGEFORMAT </w:instrText>
          </w:r>
          <w:r>
            <w:rPr>
              <w:sz w:val="16"/>
              <w:lang w:val="fr-CA"/>
            </w:rPr>
            <w:fldChar w:fldCharType="separate"/>
          </w:r>
          <w:r>
            <w:rPr>
              <w:sz w:val="16"/>
              <w:lang w:val="fr-CA"/>
            </w:rPr>
            <w:t>300WP</w:t>
          </w:r>
          <w:r>
            <w:rPr>
              <w:sz w:val="16"/>
              <w:lang w:val="fr-CA"/>
            </w:rPr>
            <w:fldChar w:fldCharType="end"/>
          </w:r>
        </w:p>
      </w:tc>
    </w:tr>
  </w:tbl>
  <w:p w14:paraId="227E8A76" w14:textId="77777777" w:rsidR="0017421E" w:rsidRPr="0017421E" w:rsidRDefault="0017421E" w:rsidP="0017421E">
    <w:pPr>
      <w:pStyle w:val="Footer"/>
      <w:spacing w:line="80" w:lineRule="exac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E101" w14:textId="77777777" w:rsidR="00811A29" w:rsidRDefault="00811A29" w:rsidP="00F43879">
    <w:pPr>
      <w:pStyle w:val="Footer"/>
      <w:spacing w:line="140" w:lineRule="exact"/>
      <w:rPr>
        <w:sz w:val="10"/>
      </w:rPr>
    </w:pPr>
  </w:p>
  <w:tbl>
    <w:tblPr>
      <w:tblW w:w="5000" w:type="pct"/>
      <w:tblBorders>
        <w:top w:val="single" w:sz="6" w:space="0" w:color="auto"/>
        <w:insideV w:val="single" w:sz="6" w:space="0" w:color="auto"/>
      </w:tblBorders>
      <w:tblCellMar>
        <w:top w:w="60" w:type="dxa"/>
        <w:left w:w="0" w:type="dxa"/>
        <w:right w:w="0" w:type="dxa"/>
      </w:tblCellMar>
      <w:tblLook w:val="04A0" w:firstRow="1" w:lastRow="0" w:firstColumn="1" w:lastColumn="0" w:noHBand="0" w:noVBand="1"/>
    </w:tblPr>
    <w:tblGrid>
      <w:gridCol w:w="3253"/>
      <w:gridCol w:w="6827"/>
    </w:tblGrid>
    <w:tr w:rsidR="008B65AE" w14:paraId="5531737C" w14:textId="77777777" w:rsidTr="009265B5">
      <w:trPr>
        <w:trHeight w:hRule="exact" w:val="435"/>
      </w:trPr>
      <w:tc>
        <w:tcPr>
          <w:tcW w:w="3253" w:type="dxa"/>
          <w:tcBorders>
            <w:top w:val="single" w:sz="6" w:space="0" w:color="1A1A1A"/>
            <w:right w:val="nil"/>
          </w:tcBorders>
          <w:vAlign w:val="center"/>
        </w:tcPr>
        <w:p w14:paraId="3F2DC78B" w14:textId="77777777" w:rsidR="00F43879" w:rsidRPr="00A13413" w:rsidRDefault="00155D69" w:rsidP="00D946CC">
          <w:pPr>
            <w:spacing w:after="0"/>
            <w:rPr>
              <w:b/>
              <w:sz w:val="16"/>
              <w:szCs w:val="16"/>
            </w:rPr>
          </w:pPr>
          <w:r>
            <w:rPr>
              <w:b/>
              <w:bCs/>
              <w:noProof/>
              <w:sz w:val="16"/>
              <w:szCs w:val="16"/>
              <w:lang w:val="fr-CA"/>
            </w:rPr>
            <w:drawing>
              <wp:inline distT="0" distB="0" distL="0" distR="0" wp14:anchorId="7968087C" wp14:editId="271A76A8">
                <wp:extent cx="1143000" cy="105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rolinx_Logo_EMF_2000.emf"/>
                        <pic:cNvPicPr/>
                      </pic:nvPicPr>
                      <pic:blipFill>
                        <a:blip r:embed="rId1">
                          <a:extLst>
                            <a:ext uri="{28A0092B-C50C-407E-A947-70E740481C1C}">
                              <a14:useLocalDpi xmlns:a14="http://schemas.microsoft.com/office/drawing/2010/main" val="0"/>
                            </a:ext>
                          </a:extLst>
                        </a:blip>
                        <a:stretch>
                          <a:fillRect/>
                        </a:stretch>
                      </pic:blipFill>
                      <pic:spPr>
                        <a:xfrm>
                          <a:off x="0" y="0"/>
                          <a:ext cx="1143000" cy="105615"/>
                        </a:xfrm>
                        <a:prstGeom prst="rect">
                          <a:avLst/>
                        </a:prstGeom>
                      </pic:spPr>
                    </pic:pic>
                  </a:graphicData>
                </a:graphic>
              </wp:inline>
            </w:drawing>
          </w:r>
        </w:p>
      </w:tc>
      <w:tc>
        <w:tcPr>
          <w:tcW w:w="6827" w:type="dxa"/>
          <w:tcBorders>
            <w:top w:val="single" w:sz="6" w:space="0" w:color="1A1A1A"/>
            <w:left w:val="nil"/>
          </w:tcBorders>
          <w:tcMar>
            <w:right w:w="72" w:type="dxa"/>
          </w:tcMar>
          <w:vAlign w:val="center"/>
        </w:tcPr>
        <w:p w14:paraId="5A4CF3CA" w14:textId="77777777" w:rsidR="00F43879" w:rsidRPr="00053D5E" w:rsidRDefault="00155D69" w:rsidP="00D946CC">
          <w:pPr>
            <w:pStyle w:val="Footer"/>
            <w:jc w:val="right"/>
          </w:pPr>
          <w:r>
            <w:rPr>
              <w:sz w:val="16"/>
              <w:lang w:val="fr-CA"/>
            </w:rPr>
            <w:fldChar w:fldCharType="begin"/>
          </w:r>
          <w:r>
            <w:rPr>
              <w:sz w:val="16"/>
              <w:lang w:val="fr-CA"/>
            </w:rPr>
            <w:instrText xml:space="preserve"> DOCPROPERTY "Manual Code"  \* MERGEFORMAT </w:instrText>
          </w:r>
          <w:r>
            <w:rPr>
              <w:sz w:val="16"/>
              <w:lang w:val="fr-CA"/>
            </w:rPr>
            <w:fldChar w:fldCharType="separate"/>
          </w:r>
          <w:r>
            <w:rPr>
              <w:sz w:val="16"/>
              <w:lang w:val="fr-CA"/>
            </w:rPr>
            <w:t>300WP</w:t>
          </w:r>
          <w:r>
            <w:rPr>
              <w:sz w:val="16"/>
              <w:lang w:val="fr-CA"/>
            </w:rPr>
            <w:fldChar w:fldCharType="end"/>
          </w:r>
        </w:p>
      </w:tc>
    </w:tr>
  </w:tbl>
  <w:p w14:paraId="6528337C" w14:textId="77777777" w:rsidR="00F43879" w:rsidRPr="002C2DF6" w:rsidRDefault="00F43879" w:rsidP="002C2DF6">
    <w:pPr>
      <w:pStyle w:val="Footer"/>
      <w:spacing w:line="8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7F5F" w14:textId="77777777" w:rsidR="00155D69" w:rsidRDefault="00155D69">
      <w:pPr>
        <w:spacing w:after="0"/>
      </w:pPr>
      <w:r>
        <w:separator/>
      </w:r>
    </w:p>
  </w:footnote>
  <w:footnote w:type="continuationSeparator" w:id="0">
    <w:p w14:paraId="31187FEF" w14:textId="77777777" w:rsidR="00155D69" w:rsidRDefault="00155D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6523"/>
      <w:gridCol w:w="2070"/>
      <w:gridCol w:w="1566"/>
    </w:tblGrid>
    <w:tr w:rsidR="008B65AE" w14:paraId="65EB482C" w14:textId="77777777" w:rsidTr="003B3A46">
      <w:trPr>
        <w:trHeight w:hRule="exact" w:val="541"/>
      </w:trPr>
      <w:tc>
        <w:tcPr>
          <w:tcW w:w="6523" w:type="dxa"/>
          <w:tcBorders>
            <w:top w:val="nil"/>
            <w:left w:val="nil"/>
            <w:bottom w:val="nil"/>
            <w:right w:val="nil"/>
          </w:tcBorders>
          <w:vAlign w:val="center"/>
        </w:tcPr>
        <w:p w14:paraId="797201CD" w14:textId="77777777" w:rsidR="00194BEC" w:rsidRPr="006F4FBF" w:rsidRDefault="00194BEC" w:rsidP="00216EF1">
          <w:pPr>
            <w:pStyle w:val="HeaderTitleOdd"/>
            <w:ind w:left="72"/>
            <w:jc w:val="left"/>
            <w:rPr>
              <w:caps w:val="0"/>
            </w:rPr>
          </w:pPr>
        </w:p>
      </w:tc>
      <w:tc>
        <w:tcPr>
          <w:tcW w:w="2070" w:type="dxa"/>
          <w:tcBorders>
            <w:top w:val="nil"/>
            <w:left w:val="nil"/>
            <w:bottom w:val="nil"/>
            <w:right w:val="nil"/>
          </w:tcBorders>
          <w:vAlign w:val="center"/>
        </w:tcPr>
        <w:p w14:paraId="25BC056B" w14:textId="77777777" w:rsidR="00194BEC" w:rsidRPr="006F4FBF" w:rsidRDefault="00155D69" w:rsidP="00D946CC">
          <w:pPr>
            <w:pStyle w:val="HeaderTitleOdd"/>
            <w:jc w:val="right"/>
            <w:rPr>
              <w:b w:val="0"/>
              <w:caps w:val="0"/>
            </w:rPr>
          </w:pPr>
          <w:r>
            <w:rPr>
              <w:b w:val="0"/>
              <w:caps w:val="0"/>
              <w:sz w:val="20"/>
              <w:lang w:val="fr-CA"/>
            </w:rPr>
            <w:t xml:space="preserve">Numéro de politique </w:t>
          </w:r>
        </w:p>
      </w:tc>
      <w:tc>
        <w:tcPr>
          <w:tcW w:w="1566" w:type="dxa"/>
          <w:tcBorders>
            <w:top w:val="nil"/>
            <w:left w:val="nil"/>
            <w:bottom w:val="nil"/>
            <w:right w:val="nil"/>
          </w:tcBorders>
          <w:vAlign w:val="center"/>
        </w:tcPr>
        <w:p w14:paraId="39289BBC" w14:textId="77777777" w:rsidR="00194BEC" w:rsidRPr="006F4FBF" w:rsidRDefault="00155D69" w:rsidP="00D946CC">
          <w:pPr>
            <w:pStyle w:val="HeaderPolicyno"/>
            <w:rPr>
              <w:b/>
            </w:rPr>
          </w:pPr>
          <w:r>
            <w:rPr>
              <w:lang w:val="fr-CA"/>
            </w:rPr>
            <w:fldChar w:fldCharType="begin"/>
          </w:r>
          <w:r>
            <w:rPr>
              <w:lang w:val="fr-CA"/>
            </w:rPr>
            <w:instrText xml:space="preserve"> DOCPROPERTY "Policy Number"  \* MERGEFORMAT </w:instrText>
          </w:r>
          <w:r>
            <w:rPr>
              <w:lang w:val="fr-CA"/>
            </w:rPr>
            <w:fldChar w:fldCharType="separate"/>
          </w:r>
          <w:r>
            <w:rPr>
              <w:b/>
              <w:bCs/>
              <w:lang w:val="fr-CA"/>
            </w:rPr>
            <w:t>XX-0000-00</w:t>
          </w:r>
          <w:r>
            <w:rPr>
              <w:lang w:val="fr-CA"/>
            </w:rPr>
            <w:fldChar w:fldCharType="end"/>
          </w:r>
        </w:p>
      </w:tc>
    </w:tr>
    <w:tr w:rsidR="008B65AE" w14:paraId="07E45A71" w14:textId="77777777" w:rsidTr="003B3A46">
      <w:trPr>
        <w:trHeight w:val="432"/>
      </w:trPr>
      <w:tc>
        <w:tcPr>
          <w:tcW w:w="6523" w:type="dxa"/>
          <w:tcBorders>
            <w:top w:val="nil"/>
            <w:left w:val="nil"/>
            <w:bottom w:val="nil"/>
            <w:right w:val="nil"/>
          </w:tcBorders>
          <w:vAlign w:val="center"/>
        </w:tcPr>
        <w:p w14:paraId="0E3CA7C3" w14:textId="77777777" w:rsidR="00194BEC" w:rsidRPr="00EB075B" w:rsidRDefault="00194BEC" w:rsidP="00216EF1">
          <w:pPr>
            <w:pStyle w:val="HeaderPolicyno"/>
            <w:ind w:left="72"/>
            <w:jc w:val="left"/>
            <w:rPr>
              <w:b/>
            </w:rPr>
          </w:pPr>
        </w:p>
      </w:tc>
      <w:tc>
        <w:tcPr>
          <w:tcW w:w="2070" w:type="dxa"/>
          <w:tcBorders>
            <w:top w:val="nil"/>
            <w:left w:val="nil"/>
            <w:bottom w:val="nil"/>
            <w:right w:val="nil"/>
          </w:tcBorders>
          <w:vAlign w:val="center"/>
        </w:tcPr>
        <w:p w14:paraId="47FCAD45" w14:textId="77777777" w:rsidR="00194BEC" w:rsidRPr="00EB075B" w:rsidRDefault="00194BEC" w:rsidP="00D946CC">
          <w:pPr>
            <w:pStyle w:val="HeaderPolicyno"/>
            <w:jc w:val="left"/>
            <w:rPr>
              <w:b/>
            </w:rPr>
          </w:pPr>
        </w:p>
      </w:tc>
      <w:tc>
        <w:tcPr>
          <w:tcW w:w="1566" w:type="dxa"/>
          <w:tcBorders>
            <w:top w:val="nil"/>
            <w:left w:val="nil"/>
            <w:bottom w:val="nil"/>
            <w:right w:val="nil"/>
          </w:tcBorders>
          <w:vAlign w:val="center"/>
        </w:tcPr>
        <w:p w14:paraId="43900A35" w14:textId="77777777" w:rsidR="00194BEC" w:rsidRDefault="00155D69" w:rsidP="00D946CC">
          <w:pPr>
            <w:pStyle w:val="HeaderLabel"/>
            <w:jc w:val="right"/>
          </w:pPr>
          <w:r>
            <w:rPr>
              <w:lang w:val="fr-CA"/>
            </w:rPr>
            <w:t>Page </w:t>
          </w:r>
          <w:r>
            <w:rPr>
              <w:sz w:val="20"/>
              <w:lang w:val="fr-CA"/>
            </w:rPr>
            <w:fldChar w:fldCharType="begin"/>
          </w:r>
          <w:r>
            <w:rPr>
              <w:sz w:val="20"/>
              <w:lang w:val="fr-CA"/>
            </w:rPr>
            <w:instrText xml:space="preserve"> PAGE </w:instrText>
          </w:r>
          <w:r>
            <w:rPr>
              <w:sz w:val="20"/>
              <w:lang w:val="fr-CA"/>
            </w:rPr>
            <w:fldChar w:fldCharType="separate"/>
          </w:r>
          <w:r>
            <w:rPr>
              <w:noProof/>
              <w:sz w:val="20"/>
              <w:lang w:val="fr-CA"/>
            </w:rPr>
            <w:t>3</w:t>
          </w:r>
          <w:r>
            <w:rPr>
              <w:sz w:val="20"/>
              <w:lang w:val="fr-CA"/>
            </w:rPr>
            <w:fldChar w:fldCharType="end"/>
          </w:r>
          <w:r>
            <w:rPr>
              <w:sz w:val="20"/>
              <w:lang w:val="fr-CA"/>
            </w:rPr>
            <w:t xml:space="preserve"> de </w:t>
          </w:r>
          <w:r>
            <w:rPr>
              <w:sz w:val="20"/>
              <w:lang w:val="fr-CA"/>
            </w:rPr>
            <w:fldChar w:fldCharType="begin"/>
          </w:r>
          <w:r>
            <w:rPr>
              <w:sz w:val="20"/>
              <w:lang w:val="fr-CA"/>
            </w:rPr>
            <w:instrText xml:space="preserve"> NUMPAGES </w:instrText>
          </w:r>
          <w:r>
            <w:rPr>
              <w:sz w:val="20"/>
              <w:lang w:val="fr-CA"/>
            </w:rPr>
            <w:fldChar w:fldCharType="separate"/>
          </w:r>
          <w:r>
            <w:rPr>
              <w:noProof/>
              <w:sz w:val="20"/>
              <w:lang w:val="fr-CA"/>
            </w:rPr>
            <w:t>3</w:t>
          </w:r>
          <w:r>
            <w:rPr>
              <w:noProof/>
              <w:sz w:val="20"/>
              <w:lang w:val="fr-CA"/>
            </w:rPr>
            <w:fldChar w:fldCharType="end"/>
          </w:r>
        </w:p>
      </w:tc>
    </w:tr>
  </w:tbl>
  <w:p w14:paraId="5E6E4397" w14:textId="77777777" w:rsidR="00194BEC" w:rsidRPr="00194BEC" w:rsidRDefault="00194BEC" w:rsidP="00194BEC">
    <w:pPr>
      <w:spacing w:after="0"/>
      <w:rPr>
        <w:sz w:val="8"/>
      </w:rPr>
    </w:pPr>
  </w:p>
  <w:tbl>
    <w:tblPr>
      <w:tblStyle w:val="TableGrid"/>
      <w:tblW w:w="0" w:type="auto"/>
      <w:tblBorders>
        <w:top w:val="none" w:sz="0" w:space="0" w:color="auto"/>
        <w:left w:val="none" w:sz="0" w:space="0" w:color="auto"/>
        <w:right w:val="none" w:sz="0" w:space="0" w:color="auto"/>
        <w:insideV w:val="none" w:sz="0" w:space="0" w:color="auto"/>
      </w:tblBorders>
      <w:tblCellMar>
        <w:left w:w="43" w:type="dxa"/>
        <w:right w:w="29" w:type="dxa"/>
      </w:tblCellMar>
      <w:tblLook w:val="04A0" w:firstRow="1" w:lastRow="0" w:firstColumn="1" w:lastColumn="0" w:noHBand="0" w:noVBand="1"/>
    </w:tblPr>
    <w:tblGrid>
      <w:gridCol w:w="762"/>
      <w:gridCol w:w="5712"/>
      <w:gridCol w:w="1432"/>
      <w:gridCol w:w="2174"/>
    </w:tblGrid>
    <w:tr w:rsidR="008B65AE" w14:paraId="200E4935" w14:textId="77777777" w:rsidTr="00181B4B">
      <w:trPr>
        <w:trHeight w:val="432"/>
      </w:trPr>
      <w:tc>
        <w:tcPr>
          <w:tcW w:w="763" w:type="dxa"/>
          <w:tcBorders>
            <w:top w:val="single" w:sz="8" w:space="0" w:color="auto"/>
            <w:bottom w:val="single" w:sz="4" w:space="0" w:color="auto"/>
          </w:tcBorders>
          <w:vAlign w:val="center"/>
        </w:tcPr>
        <w:p w14:paraId="4723EDF1" w14:textId="77777777" w:rsidR="00194BEC" w:rsidRPr="00EB075B" w:rsidRDefault="00155D69" w:rsidP="00D946CC">
          <w:pPr>
            <w:pStyle w:val="Header"/>
            <w:rPr>
              <w:sz w:val="16"/>
            </w:rPr>
          </w:pPr>
          <w:r>
            <w:rPr>
              <w:rFonts w:cs="Arial"/>
              <w:sz w:val="16"/>
              <w:lang w:val="fr-CA"/>
            </w:rPr>
            <w:t>Section</w:t>
          </w:r>
        </w:p>
      </w:tc>
      <w:tc>
        <w:tcPr>
          <w:tcW w:w="5760" w:type="dxa"/>
          <w:tcBorders>
            <w:top w:val="single" w:sz="8" w:space="0" w:color="auto"/>
            <w:bottom w:val="single" w:sz="4" w:space="0" w:color="auto"/>
            <w:right w:val="single" w:sz="4" w:space="0" w:color="auto"/>
          </w:tcBorders>
          <w:vAlign w:val="center"/>
        </w:tcPr>
        <w:p w14:paraId="486C1A94" w14:textId="77777777" w:rsidR="00194BEC" w:rsidRPr="00AF0EE0" w:rsidRDefault="00155D69" w:rsidP="00D946CC">
          <w:pPr>
            <w:pStyle w:val="Header"/>
          </w:pPr>
          <w:r>
            <w:rPr>
              <w:sz w:val="20"/>
              <w:lang w:val="fr-CA"/>
            </w:rPr>
            <w:t>Votre nom de service</w:t>
          </w:r>
        </w:p>
      </w:tc>
      <w:tc>
        <w:tcPr>
          <w:tcW w:w="1440" w:type="dxa"/>
          <w:tcBorders>
            <w:top w:val="single" w:sz="8" w:space="0" w:color="auto"/>
            <w:left w:val="single" w:sz="4" w:space="0" w:color="auto"/>
          </w:tcBorders>
          <w:vAlign w:val="center"/>
        </w:tcPr>
        <w:p w14:paraId="76448C69" w14:textId="77777777" w:rsidR="00194BEC" w:rsidRPr="00EB075B" w:rsidRDefault="00155D69" w:rsidP="00D946CC">
          <w:pPr>
            <w:pStyle w:val="Header"/>
            <w:rPr>
              <w:sz w:val="16"/>
            </w:rPr>
          </w:pPr>
          <w:r>
            <w:rPr>
              <w:rFonts w:cs="Arial"/>
              <w:sz w:val="16"/>
              <w:lang w:val="fr-CA"/>
            </w:rPr>
            <w:t>Date d’entrée en vigueur</w:t>
          </w:r>
        </w:p>
      </w:tc>
      <w:tc>
        <w:tcPr>
          <w:tcW w:w="2189" w:type="dxa"/>
          <w:tcBorders>
            <w:top w:val="single" w:sz="8" w:space="0" w:color="auto"/>
          </w:tcBorders>
          <w:vAlign w:val="center"/>
        </w:tcPr>
        <w:p w14:paraId="3ECB8085" w14:textId="77777777" w:rsidR="00194BEC" w:rsidRPr="00AF0EE0" w:rsidRDefault="00155D69" w:rsidP="00D946CC">
          <w:pPr>
            <w:pStyle w:val="Header"/>
            <w:jc w:val="right"/>
            <w:rPr>
              <w:sz w:val="20"/>
            </w:rPr>
          </w:pPr>
          <w:r>
            <w:rPr>
              <w:sz w:val="20"/>
              <w:lang w:val="fr-CA"/>
            </w:rPr>
            <w:fldChar w:fldCharType="begin"/>
          </w:r>
          <w:r>
            <w:rPr>
              <w:sz w:val="20"/>
              <w:lang w:val="fr-CA"/>
            </w:rPr>
            <w:instrText xml:space="preserve"> DOCPROPERTY "Issue Date"  \* MERGEFORMAT </w:instrText>
          </w:r>
          <w:r>
            <w:rPr>
              <w:sz w:val="20"/>
              <w:lang w:val="fr-CA"/>
            </w:rPr>
            <w:fldChar w:fldCharType="separate"/>
          </w:r>
          <w:proofErr w:type="spellStart"/>
          <w:r>
            <w:rPr>
              <w:sz w:val="20"/>
              <w:lang w:val="fr-CA"/>
            </w:rPr>
            <w:t>Month</w:t>
          </w:r>
          <w:proofErr w:type="spellEnd"/>
          <w:r>
            <w:rPr>
              <w:sz w:val="20"/>
              <w:lang w:val="fr-CA"/>
            </w:rPr>
            <w:t xml:space="preserve">, Day, </w:t>
          </w:r>
          <w:proofErr w:type="spellStart"/>
          <w:r>
            <w:rPr>
              <w:sz w:val="20"/>
              <w:lang w:val="fr-CA"/>
            </w:rPr>
            <w:t>Year</w:t>
          </w:r>
          <w:proofErr w:type="spellEnd"/>
          <w:r>
            <w:rPr>
              <w:sz w:val="20"/>
              <w:lang w:val="fr-CA"/>
            </w:rPr>
            <w:fldChar w:fldCharType="end"/>
          </w:r>
        </w:p>
      </w:tc>
    </w:tr>
    <w:tr w:rsidR="008B65AE" w14:paraId="3059CABA" w14:textId="77777777" w:rsidTr="00D946CC">
      <w:trPr>
        <w:trHeight w:val="432"/>
      </w:trPr>
      <w:tc>
        <w:tcPr>
          <w:tcW w:w="763" w:type="dxa"/>
          <w:tcBorders>
            <w:top w:val="single" w:sz="4" w:space="0" w:color="auto"/>
            <w:right w:val="nil"/>
          </w:tcBorders>
        </w:tcPr>
        <w:p w14:paraId="5F1B3664" w14:textId="77777777" w:rsidR="00194BEC" w:rsidRPr="00EB075B" w:rsidRDefault="00155D69" w:rsidP="00D946CC">
          <w:pPr>
            <w:pStyle w:val="Header"/>
            <w:spacing w:before="120"/>
            <w:rPr>
              <w:sz w:val="16"/>
            </w:rPr>
          </w:pPr>
          <w:r>
            <w:rPr>
              <w:rFonts w:cs="Arial"/>
              <w:sz w:val="16"/>
              <w:lang w:val="fr-CA"/>
            </w:rPr>
            <w:t>Objet</w:t>
          </w:r>
        </w:p>
      </w:tc>
      <w:tc>
        <w:tcPr>
          <w:tcW w:w="5760" w:type="dxa"/>
          <w:tcBorders>
            <w:top w:val="single" w:sz="4" w:space="0" w:color="auto"/>
            <w:left w:val="nil"/>
            <w:right w:val="single" w:sz="4" w:space="0" w:color="auto"/>
          </w:tcBorders>
        </w:tcPr>
        <w:p w14:paraId="320286C0" w14:textId="77777777" w:rsidR="00194BEC" w:rsidRPr="00AF0EE0" w:rsidRDefault="00155D69" w:rsidP="00D946CC">
          <w:pPr>
            <w:pStyle w:val="Header"/>
            <w:spacing w:before="120"/>
          </w:pPr>
          <w:r>
            <w:rPr>
              <w:sz w:val="20"/>
              <w:lang w:val="fr-CA"/>
            </w:rPr>
            <w:t>Thème de la politique</w:t>
          </w:r>
        </w:p>
      </w:tc>
      <w:tc>
        <w:tcPr>
          <w:tcW w:w="1440" w:type="dxa"/>
          <w:tcBorders>
            <w:top w:val="single" w:sz="4" w:space="0" w:color="auto"/>
            <w:left w:val="single" w:sz="4" w:space="0" w:color="auto"/>
          </w:tcBorders>
          <w:vAlign w:val="center"/>
        </w:tcPr>
        <w:p w14:paraId="25F84739" w14:textId="77777777" w:rsidR="00194BEC" w:rsidRPr="00EB075B" w:rsidRDefault="00155D69" w:rsidP="00D946CC">
          <w:pPr>
            <w:pStyle w:val="Header"/>
            <w:rPr>
              <w:sz w:val="16"/>
            </w:rPr>
          </w:pPr>
          <w:r>
            <w:rPr>
              <w:rFonts w:cs="Arial"/>
              <w:sz w:val="16"/>
              <w:lang w:val="fr-CA"/>
            </w:rPr>
            <w:t>Date de dernière révision</w:t>
          </w:r>
        </w:p>
      </w:tc>
      <w:tc>
        <w:tcPr>
          <w:tcW w:w="2189" w:type="dxa"/>
          <w:vAlign w:val="center"/>
        </w:tcPr>
        <w:p w14:paraId="40D11685" w14:textId="77777777" w:rsidR="00194BEC" w:rsidRPr="00AF0EE0" w:rsidRDefault="00155D69" w:rsidP="00D946CC">
          <w:pPr>
            <w:pStyle w:val="Header"/>
            <w:jc w:val="right"/>
            <w:rPr>
              <w:sz w:val="20"/>
            </w:rPr>
          </w:pPr>
          <w:r>
            <w:rPr>
              <w:sz w:val="20"/>
              <w:lang w:val="fr-CA"/>
            </w:rPr>
            <w:fldChar w:fldCharType="begin"/>
          </w:r>
          <w:r>
            <w:rPr>
              <w:sz w:val="20"/>
              <w:lang w:val="fr-CA"/>
            </w:rPr>
            <w:instrText xml:space="preserve"> DOCPROPERTY "Issue Date"  \* MERGEFORMAT </w:instrText>
          </w:r>
          <w:r>
            <w:rPr>
              <w:sz w:val="20"/>
              <w:lang w:val="fr-CA"/>
            </w:rPr>
            <w:fldChar w:fldCharType="separate"/>
          </w:r>
          <w:proofErr w:type="spellStart"/>
          <w:r>
            <w:rPr>
              <w:sz w:val="20"/>
              <w:lang w:val="fr-CA"/>
            </w:rPr>
            <w:t>Month</w:t>
          </w:r>
          <w:proofErr w:type="spellEnd"/>
          <w:r>
            <w:rPr>
              <w:sz w:val="20"/>
              <w:lang w:val="fr-CA"/>
            </w:rPr>
            <w:t xml:space="preserve">, Day, </w:t>
          </w:r>
          <w:proofErr w:type="spellStart"/>
          <w:r>
            <w:rPr>
              <w:sz w:val="20"/>
              <w:lang w:val="fr-CA"/>
            </w:rPr>
            <w:t>Year</w:t>
          </w:r>
          <w:proofErr w:type="spellEnd"/>
          <w:r>
            <w:rPr>
              <w:sz w:val="20"/>
              <w:lang w:val="fr-CA"/>
            </w:rPr>
            <w:fldChar w:fldCharType="end"/>
          </w:r>
        </w:p>
      </w:tc>
    </w:tr>
  </w:tbl>
  <w:p w14:paraId="7FC31650" w14:textId="77777777" w:rsidR="00194BEC" w:rsidRDefault="00194BEC" w:rsidP="0019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763"/>
      <w:gridCol w:w="4457"/>
      <w:gridCol w:w="2160"/>
      <w:gridCol w:w="1213"/>
      <w:gridCol w:w="47"/>
      <w:gridCol w:w="1440"/>
    </w:tblGrid>
    <w:tr w:rsidR="008B65AE" w14:paraId="74BDF9F0" w14:textId="77777777" w:rsidTr="00907103">
      <w:trPr>
        <w:trHeight w:hRule="exact" w:val="541"/>
      </w:trPr>
      <w:tc>
        <w:tcPr>
          <w:tcW w:w="763" w:type="dxa"/>
          <w:tcBorders>
            <w:top w:val="nil"/>
            <w:left w:val="nil"/>
            <w:bottom w:val="nil"/>
            <w:right w:val="nil"/>
          </w:tcBorders>
          <w:vAlign w:val="center"/>
        </w:tcPr>
        <w:p w14:paraId="66E476E6" w14:textId="77777777" w:rsidR="00811A29" w:rsidRPr="006F4FBF" w:rsidRDefault="00155D69" w:rsidP="00D946CC">
          <w:pPr>
            <w:pStyle w:val="HeaderPolicyno"/>
            <w:ind w:left="72"/>
            <w:jc w:val="left"/>
            <w:rPr>
              <w:caps/>
            </w:rPr>
          </w:pPr>
          <w:r>
            <w:rPr>
              <w:rFonts w:cs="Arial"/>
              <w:sz w:val="16"/>
              <w:lang w:val="fr-CA"/>
            </w:rPr>
            <w:t>Section</w:t>
          </w:r>
        </w:p>
      </w:tc>
      <w:tc>
        <w:tcPr>
          <w:tcW w:w="4457" w:type="dxa"/>
          <w:tcBorders>
            <w:top w:val="nil"/>
            <w:left w:val="nil"/>
            <w:bottom w:val="nil"/>
            <w:right w:val="nil"/>
          </w:tcBorders>
          <w:vAlign w:val="center"/>
        </w:tcPr>
        <w:p w14:paraId="65B23EAD" w14:textId="77777777" w:rsidR="00811A29" w:rsidRPr="006F4FBF" w:rsidRDefault="00155D69" w:rsidP="00D946CC">
          <w:pPr>
            <w:pStyle w:val="HeaderPolicyno"/>
            <w:ind w:left="72"/>
            <w:jc w:val="left"/>
            <w:rPr>
              <w:caps/>
            </w:rPr>
          </w:pPr>
          <w:r>
            <w:rPr>
              <w:sz w:val="20"/>
              <w:lang w:val="fr-CA"/>
            </w:rPr>
            <w:t>Accessibilité</w:t>
          </w:r>
        </w:p>
      </w:tc>
      <w:tc>
        <w:tcPr>
          <w:tcW w:w="3420" w:type="dxa"/>
          <w:gridSpan w:val="3"/>
          <w:tcBorders>
            <w:top w:val="nil"/>
            <w:left w:val="nil"/>
            <w:bottom w:val="nil"/>
            <w:right w:val="nil"/>
          </w:tcBorders>
          <w:vAlign w:val="center"/>
        </w:tcPr>
        <w:p w14:paraId="021B6CFC" w14:textId="77777777" w:rsidR="00811A29" w:rsidRPr="006F4FBF" w:rsidRDefault="00155D69" w:rsidP="00D946CC">
          <w:pPr>
            <w:pStyle w:val="HeaderTitleOdd"/>
            <w:jc w:val="right"/>
            <w:rPr>
              <w:b w:val="0"/>
              <w:caps w:val="0"/>
            </w:rPr>
          </w:pPr>
          <w:r>
            <w:rPr>
              <w:b w:val="0"/>
              <w:caps w:val="0"/>
              <w:sz w:val="20"/>
              <w:lang w:val="fr-CA"/>
            </w:rPr>
            <w:t xml:space="preserve">Numéro de politique </w:t>
          </w:r>
        </w:p>
      </w:tc>
      <w:tc>
        <w:tcPr>
          <w:tcW w:w="1440" w:type="dxa"/>
          <w:tcBorders>
            <w:top w:val="nil"/>
            <w:left w:val="nil"/>
            <w:bottom w:val="nil"/>
            <w:right w:val="nil"/>
          </w:tcBorders>
          <w:vAlign w:val="center"/>
        </w:tcPr>
        <w:p w14:paraId="7130B5DE" w14:textId="0EFB9AA7" w:rsidR="00811A29" w:rsidRPr="006F4FBF" w:rsidRDefault="00155D69" w:rsidP="00D946CC">
          <w:pPr>
            <w:pStyle w:val="HeaderPolicyno"/>
            <w:rPr>
              <w:b/>
            </w:rPr>
          </w:pPr>
          <w:r>
            <w:rPr>
              <w:b/>
              <w:bCs/>
              <w:lang w:val="fr-CA"/>
            </w:rPr>
            <w:t>CO-0202-01</w:t>
          </w:r>
          <w:r w:rsidR="00907103">
            <w:rPr>
              <w:b/>
              <w:bCs/>
              <w:lang w:val="fr-CA"/>
            </w:rPr>
            <w:t xml:space="preserve"> </w:t>
          </w:r>
        </w:p>
      </w:tc>
    </w:tr>
    <w:tr w:rsidR="008B65AE" w14:paraId="5711174B" w14:textId="77777777" w:rsidTr="0077248E">
      <w:trPr>
        <w:trHeight w:val="432"/>
      </w:trPr>
      <w:tc>
        <w:tcPr>
          <w:tcW w:w="763" w:type="dxa"/>
          <w:tcBorders>
            <w:top w:val="nil"/>
            <w:left w:val="nil"/>
            <w:bottom w:val="single" w:sz="4" w:space="0" w:color="auto"/>
            <w:right w:val="nil"/>
          </w:tcBorders>
          <w:vAlign w:val="center"/>
        </w:tcPr>
        <w:p w14:paraId="372A5982" w14:textId="77777777" w:rsidR="00811A29" w:rsidRPr="00EB075B" w:rsidRDefault="00155D69" w:rsidP="00D946CC">
          <w:pPr>
            <w:pStyle w:val="HeaderPolicyno"/>
            <w:ind w:left="72"/>
            <w:jc w:val="left"/>
            <w:rPr>
              <w:b/>
            </w:rPr>
          </w:pPr>
          <w:r>
            <w:rPr>
              <w:rFonts w:cs="Arial"/>
              <w:sz w:val="16"/>
              <w:lang w:val="fr-CA"/>
            </w:rPr>
            <w:t>Objet</w:t>
          </w:r>
        </w:p>
      </w:tc>
      <w:tc>
        <w:tcPr>
          <w:tcW w:w="6617" w:type="dxa"/>
          <w:gridSpan w:val="2"/>
          <w:tcBorders>
            <w:top w:val="nil"/>
            <w:left w:val="nil"/>
            <w:bottom w:val="single" w:sz="4" w:space="0" w:color="auto"/>
            <w:right w:val="nil"/>
          </w:tcBorders>
          <w:vAlign w:val="center"/>
        </w:tcPr>
        <w:p w14:paraId="6EB8AAAA" w14:textId="77777777" w:rsidR="00811A29" w:rsidRPr="00183B38" w:rsidRDefault="00155D69" w:rsidP="00D946CC">
          <w:pPr>
            <w:pStyle w:val="HeaderPolicyno"/>
            <w:ind w:left="72"/>
            <w:jc w:val="left"/>
            <w:rPr>
              <w:b/>
              <w:lang w:val="fr-CA"/>
            </w:rPr>
          </w:pPr>
          <w:r>
            <w:rPr>
              <w:sz w:val="20"/>
              <w:lang w:val="fr-CA"/>
            </w:rPr>
            <w:t>Politique sur les animaux d’assistance</w:t>
          </w:r>
        </w:p>
      </w:tc>
      <w:tc>
        <w:tcPr>
          <w:tcW w:w="1213" w:type="dxa"/>
          <w:tcBorders>
            <w:top w:val="nil"/>
            <w:left w:val="nil"/>
            <w:bottom w:val="single" w:sz="4" w:space="0" w:color="auto"/>
            <w:right w:val="nil"/>
          </w:tcBorders>
          <w:vAlign w:val="center"/>
        </w:tcPr>
        <w:p w14:paraId="3D781ED0" w14:textId="77777777" w:rsidR="00811A29" w:rsidRPr="00183B38" w:rsidRDefault="00811A29" w:rsidP="00D946CC">
          <w:pPr>
            <w:pStyle w:val="HeaderPolicyno"/>
            <w:jc w:val="left"/>
            <w:rPr>
              <w:b/>
              <w:lang w:val="fr-CA"/>
            </w:rPr>
          </w:pPr>
        </w:p>
      </w:tc>
      <w:tc>
        <w:tcPr>
          <w:tcW w:w="1487" w:type="dxa"/>
          <w:gridSpan w:val="2"/>
          <w:tcBorders>
            <w:top w:val="nil"/>
            <w:left w:val="nil"/>
            <w:bottom w:val="single" w:sz="4" w:space="0" w:color="auto"/>
            <w:right w:val="nil"/>
          </w:tcBorders>
          <w:vAlign w:val="center"/>
        </w:tcPr>
        <w:p w14:paraId="4442F07F" w14:textId="77777777" w:rsidR="00811A29" w:rsidRDefault="00155D69" w:rsidP="00D946CC">
          <w:pPr>
            <w:pStyle w:val="HeaderLabel"/>
            <w:jc w:val="right"/>
          </w:pPr>
          <w:r>
            <w:rPr>
              <w:lang w:val="fr-CA"/>
            </w:rPr>
            <w:t>Page </w:t>
          </w:r>
          <w:r>
            <w:rPr>
              <w:sz w:val="20"/>
              <w:lang w:val="fr-CA"/>
            </w:rPr>
            <w:fldChar w:fldCharType="begin"/>
          </w:r>
          <w:r>
            <w:rPr>
              <w:sz w:val="20"/>
              <w:lang w:val="fr-CA"/>
            </w:rPr>
            <w:instrText xml:space="preserve"> PAGE </w:instrText>
          </w:r>
          <w:r>
            <w:rPr>
              <w:sz w:val="20"/>
              <w:lang w:val="fr-CA"/>
            </w:rPr>
            <w:fldChar w:fldCharType="separate"/>
          </w:r>
          <w:r>
            <w:rPr>
              <w:sz w:val="20"/>
              <w:lang w:val="fr-CA"/>
            </w:rPr>
            <w:t>8</w:t>
          </w:r>
          <w:r>
            <w:rPr>
              <w:sz w:val="20"/>
              <w:lang w:val="fr-CA"/>
            </w:rPr>
            <w:fldChar w:fldCharType="end"/>
          </w:r>
          <w:r>
            <w:rPr>
              <w:sz w:val="20"/>
              <w:lang w:val="fr-CA"/>
            </w:rPr>
            <w:t xml:space="preserve"> de </w:t>
          </w:r>
          <w:r>
            <w:rPr>
              <w:sz w:val="20"/>
              <w:lang w:val="fr-CA"/>
            </w:rPr>
            <w:fldChar w:fldCharType="begin"/>
          </w:r>
          <w:r>
            <w:rPr>
              <w:sz w:val="20"/>
              <w:lang w:val="fr-CA"/>
            </w:rPr>
            <w:instrText xml:space="preserve"> NUMPAGES </w:instrText>
          </w:r>
          <w:r>
            <w:rPr>
              <w:sz w:val="20"/>
              <w:lang w:val="fr-CA"/>
            </w:rPr>
            <w:fldChar w:fldCharType="separate"/>
          </w:r>
          <w:r>
            <w:rPr>
              <w:sz w:val="20"/>
              <w:lang w:val="fr-CA"/>
            </w:rPr>
            <w:t>8</w:t>
          </w:r>
          <w:r>
            <w:rPr>
              <w:noProof/>
              <w:sz w:val="20"/>
              <w:lang w:val="fr-CA"/>
            </w:rPr>
            <w:fldChar w:fldCharType="end"/>
          </w:r>
        </w:p>
      </w:tc>
    </w:tr>
  </w:tbl>
  <w:p w14:paraId="45B78C4F" w14:textId="77777777" w:rsidR="00811A29" w:rsidRDefault="00811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711"/>
    <w:multiLevelType w:val="multilevel"/>
    <w:tmpl w:val="57245F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5151AA"/>
    <w:multiLevelType w:val="hybridMultilevel"/>
    <w:tmpl w:val="3482CEE6"/>
    <w:lvl w:ilvl="0" w:tplc="6AA0D7CE">
      <w:start w:val="1"/>
      <w:numFmt w:val="decimal"/>
      <w:lvlText w:val="%1."/>
      <w:lvlJc w:val="left"/>
      <w:pPr>
        <w:ind w:left="720" w:hanging="360"/>
      </w:pPr>
      <w:rPr>
        <w:b/>
        <w:bCs w:val="0"/>
      </w:rPr>
    </w:lvl>
    <w:lvl w:ilvl="1" w:tplc="727ECAFE">
      <w:start w:val="1"/>
      <w:numFmt w:val="lowerLetter"/>
      <w:lvlText w:val="%2."/>
      <w:lvlJc w:val="left"/>
      <w:pPr>
        <w:ind w:left="1440" w:hanging="360"/>
      </w:pPr>
    </w:lvl>
    <w:lvl w:ilvl="2" w:tplc="05863C8E">
      <w:start w:val="1"/>
      <w:numFmt w:val="lowerRoman"/>
      <w:lvlText w:val="%3."/>
      <w:lvlJc w:val="right"/>
      <w:pPr>
        <w:ind w:left="2160" w:hanging="180"/>
      </w:pPr>
    </w:lvl>
    <w:lvl w:ilvl="3" w:tplc="9336E73C">
      <w:start w:val="1"/>
      <w:numFmt w:val="decimal"/>
      <w:lvlText w:val="%4."/>
      <w:lvlJc w:val="left"/>
      <w:pPr>
        <w:ind w:left="2880" w:hanging="360"/>
      </w:pPr>
    </w:lvl>
    <w:lvl w:ilvl="4" w:tplc="733C4BD4">
      <w:start w:val="1"/>
      <w:numFmt w:val="lowerLetter"/>
      <w:lvlText w:val="%5."/>
      <w:lvlJc w:val="left"/>
      <w:pPr>
        <w:ind w:left="3600" w:hanging="360"/>
      </w:pPr>
    </w:lvl>
    <w:lvl w:ilvl="5" w:tplc="5A943FD6">
      <w:start w:val="1"/>
      <w:numFmt w:val="lowerRoman"/>
      <w:lvlText w:val="%6."/>
      <w:lvlJc w:val="right"/>
      <w:pPr>
        <w:ind w:left="4320" w:hanging="180"/>
      </w:pPr>
    </w:lvl>
    <w:lvl w:ilvl="6" w:tplc="7A1AA99E">
      <w:start w:val="1"/>
      <w:numFmt w:val="decimal"/>
      <w:lvlText w:val="%7."/>
      <w:lvlJc w:val="left"/>
      <w:pPr>
        <w:ind w:left="5040" w:hanging="360"/>
      </w:pPr>
    </w:lvl>
    <w:lvl w:ilvl="7" w:tplc="7B70FD7C">
      <w:start w:val="1"/>
      <w:numFmt w:val="lowerLetter"/>
      <w:lvlText w:val="%8."/>
      <w:lvlJc w:val="left"/>
      <w:pPr>
        <w:ind w:left="5760" w:hanging="360"/>
      </w:pPr>
    </w:lvl>
    <w:lvl w:ilvl="8" w:tplc="36FEFAB6">
      <w:start w:val="1"/>
      <w:numFmt w:val="lowerRoman"/>
      <w:lvlText w:val="%9."/>
      <w:lvlJc w:val="right"/>
      <w:pPr>
        <w:ind w:left="6480" w:hanging="180"/>
      </w:pPr>
    </w:lvl>
  </w:abstractNum>
  <w:abstractNum w:abstractNumId="2" w15:restartNumberingAfterBreak="0">
    <w:nsid w:val="1469323D"/>
    <w:multiLevelType w:val="multilevel"/>
    <w:tmpl w:val="9440DDDA"/>
    <w:name w:val="GO Manual"/>
    <w:lvl w:ilvl="0">
      <w:start w:val="1"/>
      <w:numFmt w:val="decimal"/>
      <w:pStyle w:val="ManualNumL1"/>
      <w:lvlText w:val="%1."/>
      <w:lvlJc w:val="left"/>
      <w:pPr>
        <w:tabs>
          <w:tab w:val="num" w:pos="720"/>
        </w:tabs>
        <w:ind w:left="720" w:hanging="720"/>
      </w:pPr>
      <w:rPr>
        <w:rFonts w:hint="default"/>
      </w:rPr>
    </w:lvl>
    <w:lvl w:ilvl="1">
      <w:start w:val="1"/>
      <w:numFmt w:val="lowerLetter"/>
      <w:pStyle w:val="ManualNumL2"/>
      <w:lvlText w:val="(%2)"/>
      <w:lvlJc w:val="left"/>
      <w:pPr>
        <w:tabs>
          <w:tab w:val="num" w:pos="1440"/>
        </w:tabs>
        <w:ind w:left="1440" w:hanging="720"/>
      </w:pPr>
      <w:rPr>
        <w:rFonts w:hint="default"/>
      </w:rPr>
    </w:lvl>
    <w:lvl w:ilvl="2">
      <w:start w:val="1"/>
      <w:numFmt w:val="lowerRoman"/>
      <w:pStyle w:val="ManualNumL3"/>
      <w:lvlText w:val="(%3)"/>
      <w:lvlJc w:val="left"/>
      <w:pPr>
        <w:tabs>
          <w:tab w:val="num" w:pos="2160"/>
        </w:tabs>
        <w:ind w:left="2160" w:hanging="720"/>
      </w:pPr>
      <w:rPr>
        <w:rFonts w:hint="default"/>
      </w:rPr>
    </w:lvl>
    <w:lvl w:ilvl="3">
      <w:start w:val="1"/>
      <w:numFmt w:val="upperLetter"/>
      <w:pStyle w:val="ManualNumL4"/>
      <w:lvlText w:val="%4."/>
      <w:lvlJc w:val="left"/>
      <w:pPr>
        <w:tabs>
          <w:tab w:val="num" w:pos="2880"/>
        </w:tabs>
        <w:ind w:left="2880" w:hanging="720"/>
      </w:pPr>
      <w:rPr>
        <w:rFonts w:hint="default"/>
      </w:rPr>
    </w:lvl>
    <w:lvl w:ilvl="4">
      <w:start w:val="1"/>
      <w:numFmt w:val="upperRoman"/>
      <w:pStyle w:val="ManualNumL5"/>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72529A9"/>
    <w:multiLevelType w:val="singleLevel"/>
    <w:tmpl w:val="E5546E5E"/>
    <w:name w:val="BulletsIndent"/>
    <w:lvl w:ilvl="0">
      <w:start w:val="1"/>
      <w:numFmt w:val="bullet"/>
      <w:pStyle w:val="BulletsIndent"/>
      <w:lvlText w:val=""/>
      <w:lvlJc w:val="left"/>
      <w:pPr>
        <w:tabs>
          <w:tab w:val="num" w:pos="720"/>
        </w:tabs>
        <w:ind w:left="720" w:hanging="360"/>
      </w:pPr>
      <w:rPr>
        <w:rFonts w:ascii="Symbol" w:hAnsi="Symbol" w:hint="default"/>
      </w:rPr>
    </w:lvl>
  </w:abstractNum>
  <w:abstractNum w:abstractNumId="4" w15:restartNumberingAfterBreak="0">
    <w:nsid w:val="18CA30E3"/>
    <w:multiLevelType w:val="singleLevel"/>
    <w:tmpl w:val="A2981AF0"/>
    <w:name w:val="BulletsIndentSquare"/>
    <w:lvl w:ilvl="0">
      <w:start w:val="1"/>
      <w:numFmt w:val="bullet"/>
      <w:pStyle w:val="BulletsIndentSquare"/>
      <w:lvlText w:val=""/>
      <w:lvlJc w:val="left"/>
      <w:pPr>
        <w:tabs>
          <w:tab w:val="num" w:pos="720"/>
        </w:tabs>
        <w:ind w:left="720" w:hanging="360"/>
      </w:pPr>
      <w:rPr>
        <w:rFonts w:ascii="Wingdings" w:hAnsi="Wingdings" w:hint="default"/>
      </w:rPr>
    </w:lvl>
  </w:abstractNum>
  <w:abstractNum w:abstractNumId="5" w15:restartNumberingAfterBreak="0">
    <w:nsid w:val="1B135BA0"/>
    <w:multiLevelType w:val="hybridMultilevel"/>
    <w:tmpl w:val="DF0C4952"/>
    <w:lvl w:ilvl="0" w:tplc="96BAF5DC">
      <w:start w:val="1"/>
      <w:numFmt w:val="decimal"/>
      <w:lvlText w:val="%1."/>
      <w:lvlJc w:val="left"/>
      <w:pPr>
        <w:ind w:left="720" w:hanging="360"/>
      </w:pPr>
      <w:rPr>
        <w:rFonts w:hint="default"/>
      </w:rPr>
    </w:lvl>
    <w:lvl w:ilvl="1" w:tplc="990CDDEE" w:tentative="1">
      <w:start w:val="1"/>
      <w:numFmt w:val="bullet"/>
      <w:lvlText w:val="o"/>
      <w:lvlJc w:val="left"/>
      <w:pPr>
        <w:ind w:left="1440" w:hanging="360"/>
      </w:pPr>
      <w:rPr>
        <w:rFonts w:ascii="Courier New" w:hAnsi="Courier New" w:hint="default"/>
      </w:rPr>
    </w:lvl>
    <w:lvl w:ilvl="2" w:tplc="83605F22" w:tentative="1">
      <w:start w:val="1"/>
      <w:numFmt w:val="bullet"/>
      <w:lvlText w:val=""/>
      <w:lvlJc w:val="left"/>
      <w:pPr>
        <w:ind w:left="2160" w:hanging="360"/>
      </w:pPr>
      <w:rPr>
        <w:rFonts w:ascii="Wingdings" w:hAnsi="Wingdings" w:hint="default"/>
      </w:rPr>
    </w:lvl>
    <w:lvl w:ilvl="3" w:tplc="0234DA52" w:tentative="1">
      <w:start w:val="1"/>
      <w:numFmt w:val="bullet"/>
      <w:lvlText w:val=""/>
      <w:lvlJc w:val="left"/>
      <w:pPr>
        <w:ind w:left="2880" w:hanging="360"/>
      </w:pPr>
      <w:rPr>
        <w:rFonts w:ascii="Symbol" w:hAnsi="Symbol" w:hint="default"/>
      </w:rPr>
    </w:lvl>
    <w:lvl w:ilvl="4" w:tplc="17546808" w:tentative="1">
      <w:start w:val="1"/>
      <w:numFmt w:val="bullet"/>
      <w:lvlText w:val="o"/>
      <w:lvlJc w:val="left"/>
      <w:pPr>
        <w:ind w:left="3600" w:hanging="360"/>
      </w:pPr>
      <w:rPr>
        <w:rFonts w:ascii="Courier New" w:hAnsi="Courier New" w:hint="default"/>
      </w:rPr>
    </w:lvl>
    <w:lvl w:ilvl="5" w:tplc="91B8B79A" w:tentative="1">
      <w:start w:val="1"/>
      <w:numFmt w:val="bullet"/>
      <w:lvlText w:val=""/>
      <w:lvlJc w:val="left"/>
      <w:pPr>
        <w:ind w:left="4320" w:hanging="360"/>
      </w:pPr>
      <w:rPr>
        <w:rFonts w:ascii="Wingdings" w:hAnsi="Wingdings" w:hint="default"/>
      </w:rPr>
    </w:lvl>
    <w:lvl w:ilvl="6" w:tplc="0B3A2134" w:tentative="1">
      <w:start w:val="1"/>
      <w:numFmt w:val="bullet"/>
      <w:lvlText w:val=""/>
      <w:lvlJc w:val="left"/>
      <w:pPr>
        <w:ind w:left="5040" w:hanging="360"/>
      </w:pPr>
      <w:rPr>
        <w:rFonts w:ascii="Symbol" w:hAnsi="Symbol" w:hint="default"/>
      </w:rPr>
    </w:lvl>
    <w:lvl w:ilvl="7" w:tplc="148C86FA" w:tentative="1">
      <w:start w:val="1"/>
      <w:numFmt w:val="bullet"/>
      <w:lvlText w:val="o"/>
      <w:lvlJc w:val="left"/>
      <w:pPr>
        <w:ind w:left="5760" w:hanging="360"/>
      </w:pPr>
      <w:rPr>
        <w:rFonts w:ascii="Courier New" w:hAnsi="Courier New" w:hint="default"/>
      </w:rPr>
    </w:lvl>
    <w:lvl w:ilvl="8" w:tplc="8B908C6A" w:tentative="1">
      <w:start w:val="1"/>
      <w:numFmt w:val="bullet"/>
      <w:lvlText w:val=""/>
      <w:lvlJc w:val="left"/>
      <w:pPr>
        <w:ind w:left="6480" w:hanging="360"/>
      </w:pPr>
      <w:rPr>
        <w:rFonts w:ascii="Wingdings" w:hAnsi="Wingdings" w:hint="default"/>
      </w:rPr>
    </w:lvl>
  </w:abstractNum>
  <w:abstractNum w:abstractNumId="6" w15:restartNumberingAfterBreak="0">
    <w:nsid w:val="20411927"/>
    <w:multiLevelType w:val="hybridMultilevel"/>
    <w:tmpl w:val="CF382BA0"/>
    <w:lvl w:ilvl="0" w:tplc="1F543F46">
      <w:start w:val="1"/>
      <w:numFmt w:val="bullet"/>
      <w:lvlText w:val="o"/>
      <w:lvlJc w:val="left"/>
      <w:pPr>
        <w:tabs>
          <w:tab w:val="num" w:pos="720"/>
        </w:tabs>
        <w:ind w:left="720" w:hanging="360"/>
      </w:pPr>
      <w:rPr>
        <w:rFonts w:hAnsi="Courier New" w:hint="default"/>
      </w:rPr>
    </w:lvl>
    <w:lvl w:ilvl="1" w:tplc="D3CCC870" w:tentative="1">
      <w:start w:val="1"/>
      <w:numFmt w:val="bullet"/>
      <w:lvlText w:val="o"/>
      <w:lvlJc w:val="left"/>
      <w:pPr>
        <w:tabs>
          <w:tab w:val="num" w:pos="1440"/>
        </w:tabs>
        <w:ind w:left="1440" w:hanging="360"/>
      </w:pPr>
      <w:rPr>
        <w:rFonts w:ascii="Courier New" w:hAnsi="Courier New" w:hint="default"/>
      </w:rPr>
    </w:lvl>
    <w:lvl w:ilvl="2" w:tplc="17F8F2C0" w:tentative="1">
      <w:start w:val="1"/>
      <w:numFmt w:val="bullet"/>
      <w:lvlText w:val=""/>
      <w:lvlJc w:val="left"/>
      <w:pPr>
        <w:tabs>
          <w:tab w:val="num" w:pos="2160"/>
        </w:tabs>
        <w:ind w:left="2160" w:hanging="360"/>
      </w:pPr>
      <w:rPr>
        <w:rFonts w:ascii="Wingdings" w:hAnsi="Wingdings" w:hint="default"/>
      </w:rPr>
    </w:lvl>
    <w:lvl w:ilvl="3" w:tplc="6BA2AC8C" w:tentative="1">
      <w:start w:val="1"/>
      <w:numFmt w:val="bullet"/>
      <w:lvlText w:val=""/>
      <w:lvlJc w:val="left"/>
      <w:pPr>
        <w:tabs>
          <w:tab w:val="num" w:pos="2880"/>
        </w:tabs>
        <w:ind w:left="2880" w:hanging="360"/>
      </w:pPr>
      <w:rPr>
        <w:rFonts w:ascii="Symbol" w:hAnsi="Symbol" w:hint="default"/>
      </w:rPr>
    </w:lvl>
    <w:lvl w:ilvl="4" w:tplc="1EA024AA" w:tentative="1">
      <w:start w:val="1"/>
      <w:numFmt w:val="bullet"/>
      <w:lvlText w:val="o"/>
      <w:lvlJc w:val="left"/>
      <w:pPr>
        <w:tabs>
          <w:tab w:val="num" w:pos="3600"/>
        </w:tabs>
        <w:ind w:left="3600" w:hanging="360"/>
      </w:pPr>
      <w:rPr>
        <w:rFonts w:ascii="Courier New" w:hAnsi="Courier New" w:hint="default"/>
      </w:rPr>
    </w:lvl>
    <w:lvl w:ilvl="5" w:tplc="09740FB8" w:tentative="1">
      <w:start w:val="1"/>
      <w:numFmt w:val="bullet"/>
      <w:lvlText w:val=""/>
      <w:lvlJc w:val="left"/>
      <w:pPr>
        <w:tabs>
          <w:tab w:val="num" w:pos="4320"/>
        </w:tabs>
        <w:ind w:left="4320" w:hanging="360"/>
      </w:pPr>
      <w:rPr>
        <w:rFonts w:ascii="Wingdings" w:hAnsi="Wingdings" w:hint="default"/>
      </w:rPr>
    </w:lvl>
    <w:lvl w:ilvl="6" w:tplc="4A38AD3C" w:tentative="1">
      <w:start w:val="1"/>
      <w:numFmt w:val="bullet"/>
      <w:lvlText w:val=""/>
      <w:lvlJc w:val="left"/>
      <w:pPr>
        <w:tabs>
          <w:tab w:val="num" w:pos="5040"/>
        </w:tabs>
        <w:ind w:left="5040" w:hanging="360"/>
      </w:pPr>
      <w:rPr>
        <w:rFonts w:ascii="Symbol" w:hAnsi="Symbol" w:hint="default"/>
      </w:rPr>
    </w:lvl>
    <w:lvl w:ilvl="7" w:tplc="46303426" w:tentative="1">
      <w:start w:val="1"/>
      <w:numFmt w:val="bullet"/>
      <w:lvlText w:val="o"/>
      <w:lvlJc w:val="left"/>
      <w:pPr>
        <w:tabs>
          <w:tab w:val="num" w:pos="5760"/>
        </w:tabs>
        <w:ind w:left="5760" w:hanging="360"/>
      </w:pPr>
      <w:rPr>
        <w:rFonts w:ascii="Courier New" w:hAnsi="Courier New" w:hint="default"/>
      </w:rPr>
    </w:lvl>
    <w:lvl w:ilvl="8" w:tplc="230CD4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9223F"/>
    <w:multiLevelType w:val="hybridMultilevel"/>
    <w:tmpl w:val="284EB41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054539"/>
    <w:multiLevelType w:val="hybridMultilevel"/>
    <w:tmpl w:val="CF546D86"/>
    <w:lvl w:ilvl="0" w:tplc="51A23F86">
      <w:start w:val="1"/>
      <w:numFmt w:val="bullet"/>
      <w:lvlText w:val=""/>
      <w:lvlJc w:val="left"/>
      <w:pPr>
        <w:ind w:left="1170" w:hanging="360"/>
      </w:pPr>
      <w:rPr>
        <w:rFonts w:ascii="Symbol" w:hAnsi="Symbol" w:hint="default"/>
      </w:rPr>
    </w:lvl>
    <w:lvl w:ilvl="1" w:tplc="8904F332" w:tentative="1">
      <w:start w:val="1"/>
      <w:numFmt w:val="bullet"/>
      <w:lvlText w:val="o"/>
      <w:lvlJc w:val="left"/>
      <w:pPr>
        <w:ind w:left="1890" w:hanging="360"/>
      </w:pPr>
      <w:rPr>
        <w:rFonts w:ascii="Courier New" w:hAnsi="Courier New" w:cs="Courier New" w:hint="default"/>
      </w:rPr>
    </w:lvl>
    <w:lvl w:ilvl="2" w:tplc="69648B76" w:tentative="1">
      <w:start w:val="1"/>
      <w:numFmt w:val="bullet"/>
      <w:lvlText w:val=""/>
      <w:lvlJc w:val="left"/>
      <w:pPr>
        <w:ind w:left="2610" w:hanging="360"/>
      </w:pPr>
      <w:rPr>
        <w:rFonts w:ascii="Wingdings" w:hAnsi="Wingdings" w:hint="default"/>
      </w:rPr>
    </w:lvl>
    <w:lvl w:ilvl="3" w:tplc="98B27E54" w:tentative="1">
      <w:start w:val="1"/>
      <w:numFmt w:val="bullet"/>
      <w:lvlText w:val=""/>
      <w:lvlJc w:val="left"/>
      <w:pPr>
        <w:ind w:left="3330" w:hanging="360"/>
      </w:pPr>
      <w:rPr>
        <w:rFonts w:ascii="Symbol" w:hAnsi="Symbol" w:hint="default"/>
      </w:rPr>
    </w:lvl>
    <w:lvl w:ilvl="4" w:tplc="F2F2B948" w:tentative="1">
      <w:start w:val="1"/>
      <w:numFmt w:val="bullet"/>
      <w:lvlText w:val="o"/>
      <w:lvlJc w:val="left"/>
      <w:pPr>
        <w:ind w:left="4050" w:hanging="360"/>
      </w:pPr>
      <w:rPr>
        <w:rFonts w:ascii="Courier New" w:hAnsi="Courier New" w:cs="Courier New" w:hint="default"/>
      </w:rPr>
    </w:lvl>
    <w:lvl w:ilvl="5" w:tplc="ABF8C684" w:tentative="1">
      <w:start w:val="1"/>
      <w:numFmt w:val="bullet"/>
      <w:lvlText w:val=""/>
      <w:lvlJc w:val="left"/>
      <w:pPr>
        <w:ind w:left="4770" w:hanging="360"/>
      </w:pPr>
      <w:rPr>
        <w:rFonts w:ascii="Wingdings" w:hAnsi="Wingdings" w:hint="default"/>
      </w:rPr>
    </w:lvl>
    <w:lvl w:ilvl="6" w:tplc="5FDCFF62" w:tentative="1">
      <w:start w:val="1"/>
      <w:numFmt w:val="bullet"/>
      <w:lvlText w:val=""/>
      <w:lvlJc w:val="left"/>
      <w:pPr>
        <w:ind w:left="5490" w:hanging="360"/>
      </w:pPr>
      <w:rPr>
        <w:rFonts w:ascii="Symbol" w:hAnsi="Symbol" w:hint="default"/>
      </w:rPr>
    </w:lvl>
    <w:lvl w:ilvl="7" w:tplc="E2928FBE" w:tentative="1">
      <w:start w:val="1"/>
      <w:numFmt w:val="bullet"/>
      <w:lvlText w:val="o"/>
      <w:lvlJc w:val="left"/>
      <w:pPr>
        <w:ind w:left="6210" w:hanging="360"/>
      </w:pPr>
      <w:rPr>
        <w:rFonts w:ascii="Courier New" w:hAnsi="Courier New" w:cs="Courier New" w:hint="default"/>
      </w:rPr>
    </w:lvl>
    <w:lvl w:ilvl="8" w:tplc="E42AA5EC" w:tentative="1">
      <w:start w:val="1"/>
      <w:numFmt w:val="bullet"/>
      <w:lvlText w:val=""/>
      <w:lvlJc w:val="left"/>
      <w:pPr>
        <w:ind w:left="6930" w:hanging="360"/>
      </w:pPr>
      <w:rPr>
        <w:rFonts w:ascii="Wingdings" w:hAnsi="Wingdings" w:hint="default"/>
      </w:rPr>
    </w:lvl>
  </w:abstractNum>
  <w:abstractNum w:abstractNumId="9" w15:restartNumberingAfterBreak="0">
    <w:nsid w:val="38997DC7"/>
    <w:multiLevelType w:val="hybridMultilevel"/>
    <w:tmpl w:val="6E6ED432"/>
    <w:lvl w:ilvl="0" w:tplc="B79676DE">
      <w:start w:val="1"/>
      <w:numFmt w:val="bullet"/>
      <w:lvlText w:val="·"/>
      <w:lvlJc w:val="left"/>
      <w:pPr>
        <w:ind w:left="720" w:hanging="360"/>
      </w:pPr>
      <w:rPr>
        <w:rFonts w:ascii="Symbol" w:hAnsi="Symbol" w:hint="default"/>
      </w:rPr>
    </w:lvl>
    <w:lvl w:ilvl="1" w:tplc="9AC03D80">
      <w:start w:val="1"/>
      <w:numFmt w:val="bullet"/>
      <w:lvlText w:val="o"/>
      <w:lvlJc w:val="left"/>
      <w:pPr>
        <w:ind w:left="1440" w:hanging="360"/>
      </w:pPr>
      <w:rPr>
        <w:rFonts w:ascii="Courier New" w:hAnsi="Courier New" w:hint="default"/>
      </w:rPr>
    </w:lvl>
    <w:lvl w:ilvl="2" w:tplc="BC98C88A" w:tentative="1">
      <w:start w:val="1"/>
      <w:numFmt w:val="bullet"/>
      <w:lvlText w:val=""/>
      <w:lvlJc w:val="left"/>
      <w:pPr>
        <w:ind w:left="2160" w:hanging="360"/>
      </w:pPr>
      <w:rPr>
        <w:rFonts w:ascii="Wingdings" w:hAnsi="Wingdings" w:hint="default"/>
      </w:rPr>
    </w:lvl>
    <w:lvl w:ilvl="3" w:tplc="09FC4296" w:tentative="1">
      <w:start w:val="1"/>
      <w:numFmt w:val="bullet"/>
      <w:lvlText w:val=""/>
      <w:lvlJc w:val="left"/>
      <w:pPr>
        <w:ind w:left="2880" w:hanging="360"/>
      </w:pPr>
      <w:rPr>
        <w:rFonts w:ascii="Symbol" w:hAnsi="Symbol" w:hint="default"/>
      </w:rPr>
    </w:lvl>
    <w:lvl w:ilvl="4" w:tplc="C98EDA1C" w:tentative="1">
      <w:start w:val="1"/>
      <w:numFmt w:val="bullet"/>
      <w:lvlText w:val="o"/>
      <w:lvlJc w:val="left"/>
      <w:pPr>
        <w:ind w:left="3600" w:hanging="360"/>
      </w:pPr>
      <w:rPr>
        <w:rFonts w:ascii="Courier New" w:hAnsi="Courier New" w:hint="default"/>
      </w:rPr>
    </w:lvl>
    <w:lvl w:ilvl="5" w:tplc="2294E6D4" w:tentative="1">
      <w:start w:val="1"/>
      <w:numFmt w:val="bullet"/>
      <w:lvlText w:val=""/>
      <w:lvlJc w:val="left"/>
      <w:pPr>
        <w:ind w:left="4320" w:hanging="360"/>
      </w:pPr>
      <w:rPr>
        <w:rFonts w:ascii="Wingdings" w:hAnsi="Wingdings" w:hint="default"/>
      </w:rPr>
    </w:lvl>
    <w:lvl w:ilvl="6" w:tplc="E91C84F2" w:tentative="1">
      <w:start w:val="1"/>
      <w:numFmt w:val="bullet"/>
      <w:lvlText w:val=""/>
      <w:lvlJc w:val="left"/>
      <w:pPr>
        <w:ind w:left="5040" w:hanging="360"/>
      </w:pPr>
      <w:rPr>
        <w:rFonts w:ascii="Symbol" w:hAnsi="Symbol" w:hint="default"/>
      </w:rPr>
    </w:lvl>
    <w:lvl w:ilvl="7" w:tplc="A6EC57B8" w:tentative="1">
      <w:start w:val="1"/>
      <w:numFmt w:val="bullet"/>
      <w:lvlText w:val="o"/>
      <w:lvlJc w:val="left"/>
      <w:pPr>
        <w:ind w:left="5760" w:hanging="360"/>
      </w:pPr>
      <w:rPr>
        <w:rFonts w:ascii="Courier New" w:hAnsi="Courier New" w:hint="default"/>
      </w:rPr>
    </w:lvl>
    <w:lvl w:ilvl="8" w:tplc="C8863A46" w:tentative="1">
      <w:start w:val="1"/>
      <w:numFmt w:val="bullet"/>
      <w:lvlText w:val=""/>
      <w:lvlJc w:val="left"/>
      <w:pPr>
        <w:ind w:left="6480" w:hanging="360"/>
      </w:pPr>
      <w:rPr>
        <w:rFonts w:ascii="Wingdings" w:hAnsi="Wingdings" w:hint="default"/>
      </w:rPr>
    </w:lvl>
  </w:abstractNum>
  <w:abstractNum w:abstractNumId="10" w15:restartNumberingAfterBreak="0">
    <w:nsid w:val="3B8348F2"/>
    <w:multiLevelType w:val="hybridMultilevel"/>
    <w:tmpl w:val="FC362D14"/>
    <w:lvl w:ilvl="0" w:tplc="5ABC4B96">
      <w:start w:val="1"/>
      <w:numFmt w:val="bullet"/>
      <w:lvlText w:val=""/>
      <w:lvlJc w:val="left"/>
      <w:pPr>
        <w:ind w:left="720" w:hanging="360"/>
      </w:pPr>
      <w:rPr>
        <w:rFonts w:ascii="Symbol" w:hAnsi="Symbol" w:hint="default"/>
      </w:rPr>
    </w:lvl>
    <w:lvl w:ilvl="1" w:tplc="21FAE72C" w:tentative="1">
      <w:start w:val="1"/>
      <w:numFmt w:val="bullet"/>
      <w:lvlText w:val="o"/>
      <w:lvlJc w:val="left"/>
      <w:pPr>
        <w:ind w:left="1440" w:hanging="360"/>
      </w:pPr>
      <w:rPr>
        <w:rFonts w:ascii="Courier New" w:hAnsi="Courier New" w:cs="Courier New" w:hint="default"/>
      </w:rPr>
    </w:lvl>
    <w:lvl w:ilvl="2" w:tplc="38E873B0" w:tentative="1">
      <w:start w:val="1"/>
      <w:numFmt w:val="bullet"/>
      <w:lvlText w:val=""/>
      <w:lvlJc w:val="left"/>
      <w:pPr>
        <w:ind w:left="2160" w:hanging="360"/>
      </w:pPr>
      <w:rPr>
        <w:rFonts w:ascii="Wingdings" w:hAnsi="Wingdings" w:hint="default"/>
      </w:rPr>
    </w:lvl>
    <w:lvl w:ilvl="3" w:tplc="A8345602" w:tentative="1">
      <w:start w:val="1"/>
      <w:numFmt w:val="bullet"/>
      <w:lvlText w:val=""/>
      <w:lvlJc w:val="left"/>
      <w:pPr>
        <w:ind w:left="2880" w:hanging="360"/>
      </w:pPr>
      <w:rPr>
        <w:rFonts w:ascii="Symbol" w:hAnsi="Symbol" w:hint="default"/>
      </w:rPr>
    </w:lvl>
    <w:lvl w:ilvl="4" w:tplc="F6DCEEA2" w:tentative="1">
      <w:start w:val="1"/>
      <w:numFmt w:val="bullet"/>
      <w:lvlText w:val="o"/>
      <w:lvlJc w:val="left"/>
      <w:pPr>
        <w:ind w:left="3600" w:hanging="360"/>
      </w:pPr>
      <w:rPr>
        <w:rFonts w:ascii="Courier New" w:hAnsi="Courier New" w:cs="Courier New" w:hint="default"/>
      </w:rPr>
    </w:lvl>
    <w:lvl w:ilvl="5" w:tplc="7BF6EA38" w:tentative="1">
      <w:start w:val="1"/>
      <w:numFmt w:val="bullet"/>
      <w:lvlText w:val=""/>
      <w:lvlJc w:val="left"/>
      <w:pPr>
        <w:ind w:left="4320" w:hanging="360"/>
      </w:pPr>
      <w:rPr>
        <w:rFonts w:ascii="Wingdings" w:hAnsi="Wingdings" w:hint="default"/>
      </w:rPr>
    </w:lvl>
    <w:lvl w:ilvl="6" w:tplc="E47ACF54" w:tentative="1">
      <w:start w:val="1"/>
      <w:numFmt w:val="bullet"/>
      <w:lvlText w:val=""/>
      <w:lvlJc w:val="left"/>
      <w:pPr>
        <w:ind w:left="5040" w:hanging="360"/>
      </w:pPr>
      <w:rPr>
        <w:rFonts w:ascii="Symbol" w:hAnsi="Symbol" w:hint="default"/>
      </w:rPr>
    </w:lvl>
    <w:lvl w:ilvl="7" w:tplc="5FA4ABCC" w:tentative="1">
      <w:start w:val="1"/>
      <w:numFmt w:val="bullet"/>
      <w:lvlText w:val="o"/>
      <w:lvlJc w:val="left"/>
      <w:pPr>
        <w:ind w:left="5760" w:hanging="360"/>
      </w:pPr>
      <w:rPr>
        <w:rFonts w:ascii="Courier New" w:hAnsi="Courier New" w:cs="Courier New" w:hint="default"/>
      </w:rPr>
    </w:lvl>
    <w:lvl w:ilvl="8" w:tplc="21E0E516" w:tentative="1">
      <w:start w:val="1"/>
      <w:numFmt w:val="bullet"/>
      <w:lvlText w:val=""/>
      <w:lvlJc w:val="left"/>
      <w:pPr>
        <w:ind w:left="6480" w:hanging="360"/>
      </w:pPr>
      <w:rPr>
        <w:rFonts w:ascii="Wingdings" w:hAnsi="Wingdings" w:hint="default"/>
      </w:rPr>
    </w:lvl>
  </w:abstractNum>
  <w:abstractNum w:abstractNumId="11" w15:restartNumberingAfterBreak="0">
    <w:nsid w:val="41FA5254"/>
    <w:multiLevelType w:val="hybridMultilevel"/>
    <w:tmpl w:val="6EF4FFB4"/>
    <w:lvl w:ilvl="0" w:tplc="4DBCAAD8">
      <w:start w:val="1"/>
      <w:numFmt w:val="bullet"/>
      <w:pStyle w:val="ListBullet2"/>
      <w:lvlText w:val="–"/>
      <w:lvlJc w:val="left"/>
      <w:pPr>
        <w:ind w:left="1080" w:hanging="360"/>
      </w:pPr>
      <w:rPr>
        <w:rFonts w:ascii="AvenirNext LT Pro Regular" w:hAnsi="AvenirNext LT Pro Regular" w:hint="default"/>
      </w:rPr>
    </w:lvl>
    <w:lvl w:ilvl="1" w:tplc="CC18504A" w:tentative="1">
      <w:start w:val="1"/>
      <w:numFmt w:val="bullet"/>
      <w:lvlText w:val="o"/>
      <w:lvlJc w:val="left"/>
      <w:pPr>
        <w:ind w:left="1440" w:hanging="360"/>
      </w:pPr>
      <w:rPr>
        <w:rFonts w:ascii="Courier New" w:hAnsi="Courier New" w:hint="default"/>
      </w:rPr>
    </w:lvl>
    <w:lvl w:ilvl="2" w:tplc="9AF2A4EC" w:tentative="1">
      <w:start w:val="1"/>
      <w:numFmt w:val="bullet"/>
      <w:lvlText w:val=""/>
      <w:lvlJc w:val="left"/>
      <w:pPr>
        <w:ind w:left="2160" w:hanging="360"/>
      </w:pPr>
      <w:rPr>
        <w:rFonts w:ascii="Symbol" w:hAnsi="Symbol" w:hint="default"/>
      </w:rPr>
    </w:lvl>
    <w:lvl w:ilvl="3" w:tplc="68305712" w:tentative="1">
      <w:start w:val="1"/>
      <w:numFmt w:val="bullet"/>
      <w:lvlText w:val=""/>
      <w:lvlJc w:val="left"/>
      <w:pPr>
        <w:ind w:left="2880" w:hanging="360"/>
      </w:pPr>
      <w:rPr>
        <w:rFonts w:ascii="Symbol" w:hAnsi="Symbol" w:hint="default"/>
      </w:rPr>
    </w:lvl>
    <w:lvl w:ilvl="4" w:tplc="C2F0EC86" w:tentative="1">
      <w:start w:val="1"/>
      <w:numFmt w:val="bullet"/>
      <w:lvlText w:val="o"/>
      <w:lvlJc w:val="left"/>
      <w:pPr>
        <w:ind w:left="3600" w:hanging="360"/>
      </w:pPr>
      <w:rPr>
        <w:rFonts w:ascii="Courier New" w:hAnsi="Courier New" w:hint="default"/>
      </w:rPr>
    </w:lvl>
    <w:lvl w:ilvl="5" w:tplc="99C8398E" w:tentative="1">
      <w:start w:val="1"/>
      <w:numFmt w:val="bullet"/>
      <w:lvlText w:val=""/>
      <w:lvlJc w:val="left"/>
      <w:pPr>
        <w:ind w:left="4320" w:hanging="360"/>
      </w:pPr>
      <w:rPr>
        <w:rFonts w:ascii="Symbol" w:hAnsi="Symbol" w:hint="default"/>
      </w:rPr>
    </w:lvl>
    <w:lvl w:ilvl="6" w:tplc="46AE0C22" w:tentative="1">
      <w:start w:val="1"/>
      <w:numFmt w:val="bullet"/>
      <w:lvlText w:val=""/>
      <w:lvlJc w:val="left"/>
      <w:pPr>
        <w:ind w:left="5040" w:hanging="360"/>
      </w:pPr>
      <w:rPr>
        <w:rFonts w:ascii="Symbol" w:hAnsi="Symbol" w:hint="default"/>
      </w:rPr>
    </w:lvl>
    <w:lvl w:ilvl="7" w:tplc="F7C24FBA" w:tentative="1">
      <w:start w:val="1"/>
      <w:numFmt w:val="bullet"/>
      <w:lvlText w:val="o"/>
      <w:lvlJc w:val="left"/>
      <w:pPr>
        <w:ind w:left="5760" w:hanging="360"/>
      </w:pPr>
      <w:rPr>
        <w:rFonts w:ascii="Courier New" w:hAnsi="Courier New" w:hint="default"/>
      </w:rPr>
    </w:lvl>
    <w:lvl w:ilvl="8" w:tplc="19507044" w:tentative="1">
      <w:start w:val="1"/>
      <w:numFmt w:val="bullet"/>
      <w:lvlText w:val=""/>
      <w:lvlJc w:val="left"/>
      <w:pPr>
        <w:ind w:left="6480" w:hanging="360"/>
      </w:pPr>
      <w:rPr>
        <w:rFonts w:ascii="Symbol" w:hAnsi="Symbol" w:hint="default"/>
      </w:rPr>
    </w:lvl>
  </w:abstractNum>
  <w:abstractNum w:abstractNumId="12" w15:restartNumberingAfterBreak="0">
    <w:nsid w:val="49EA56DD"/>
    <w:multiLevelType w:val="hybridMultilevel"/>
    <w:tmpl w:val="BF78EB6C"/>
    <w:lvl w:ilvl="0" w:tplc="E374669E">
      <w:start w:val="1"/>
      <w:numFmt w:val="bullet"/>
      <w:lvlText w:val="·"/>
      <w:lvlJc w:val="left"/>
      <w:pPr>
        <w:ind w:left="720" w:hanging="360"/>
      </w:pPr>
      <w:rPr>
        <w:rFonts w:ascii="Symbol" w:hAnsi="Symbol" w:hint="default"/>
      </w:rPr>
    </w:lvl>
    <w:lvl w:ilvl="1" w:tplc="286AB18E">
      <w:start w:val="1"/>
      <w:numFmt w:val="bullet"/>
      <w:lvlText w:val="o"/>
      <w:lvlJc w:val="left"/>
      <w:pPr>
        <w:ind w:left="1440" w:hanging="360"/>
      </w:pPr>
      <w:rPr>
        <w:rFonts w:ascii="Courier New" w:hAnsi="Courier New" w:hint="default"/>
      </w:rPr>
    </w:lvl>
    <w:lvl w:ilvl="2" w:tplc="013250C4" w:tentative="1">
      <w:start w:val="1"/>
      <w:numFmt w:val="bullet"/>
      <w:lvlText w:val=""/>
      <w:lvlJc w:val="left"/>
      <w:pPr>
        <w:ind w:left="2160" w:hanging="360"/>
      </w:pPr>
      <w:rPr>
        <w:rFonts w:ascii="Wingdings" w:hAnsi="Wingdings" w:hint="default"/>
      </w:rPr>
    </w:lvl>
    <w:lvl w:ilvl="3" w:tplc="FEACBC5E" w:tentative="1">
      <w:start w:val="1"/>
      <w:numFmt w:val="bullet"/>
      <w:lvlText w:val=""/>
      <w:lvlJc w:val="left"/>
      <w:pPr>
        <w:ind w:left="2880" w:hanging="360"/>
      </w:pPr>
      <w:rPr>
        <w:rFonts w:ascii="Symbol" w:hAnsi="Symbol" w:hint="default"/>
      </w:rPr>
    </w:lvl>
    <w:lvl w:ilvl="4" w:tplc="F8BCF274" w:tentative="1">
      <w:start w:val="1"/>
      <w:numFmt w:val="bullet"/>
      <w:lvlText w:val="o"/>
      <w:lvlJc w:val="left"/>
      <w:pPr>
        <w:ind w:left="3600" w:hanging="360"/>
      </w:pPr>
      <w:rPr>
        <w:rFonts w:ascii="Courier New" w:hAnsi="Courier New" w:hint="default"/>
      </w:rPr>
    </w:lvl>
    <w:lvl w:ilvl="5" w:tplc="D828078C" w:tentative="1">
      <w:start w:val="1"/>
      <w:numFmt w:val="bullet"/>
      <w:lvlText w:val=""/>
      <w:lvlJc w:val="left"/>
      <w:pPr>
        <w:ind w:left="4320" w:hanging="360"/>
      </w:pPr>
      <w:rPr>
        <w:rFonts w:ascii="Wingdings" w:hAnsi="Wingdings" w:hint="default"/>
      </w:rPr>
    </w:lvl>
    <w:lvl w:ilvl="6" w:tplc="F9222972" w:tentative="1">
      <w:start w:val="1"/>
      <w:numFmt w:val="bullet"/>
      <w:lvlText w:val=""/>
      <w:lvlJc w:val="left"/>
      <w:pPr>
        <w:ind w:left="5040" w:hanging="360"/>
      </w:pPr>
      <w:rPr>
        <w:rFonts w:ascii="Symbol" w:hAnsi="Symbol" w:hint="default"/>
      </w:rPr>
    </w:lvl>
    <w:lvl w:ilvl="7" w:tplc="6BFADB14" w:tentative="1">
      <w:start w:val="1"/>
      <w:numFmt w:val="bullet"/>
      <w:lvlText w:val="o"/>
      <w:lvlJc w:val="left"/>
      <w:pPr>
        <w:ind w:left="5760" w:hanging="360"/>
      </w:pPr>
      <w:rPr>
        <w:rFonts w:ascii="Courier New" w:hAnsi="Courier New" w:hint="default"/>
      </w:rPr>
    </w:lvl>
    <w:lvl w:ilvl="8" w:tplc="4D0E8B92" w:tentative="1">
      <w:start w:val="1"/>
      <w:numFmt w:val="bullet"/>
      <w:lvlText w:val=""/>
      <w:lvlJc w:val="left"/>
      <w:pPr>
        <w:ind w:left="6480" w:hanging="360"/>
      </w:pPr>
      <w:rPr>
        <w:rFonts w:ascii="Wingdings" w:hAnsi="Wingdings" w:hint="default"/>
      </w:rPr>
    </w:lvl>
  </w:abstractNum>
  <w:abstractNum w:abstractNumId="13" w15:restartNumberingAfterBreak="0">
    <w:nsid w:val="4E487468"/>
    <w:multiLevelType w:val="singleLevel"/>
    <w:tmpl w:val="3710D8D0"/>
    <w:name w:val="BulletsParagraph"/>
    <w:lvl w:ilvl="0">
      <w:start w:val="1"/>
      <w:numFmt w:val="bullet"/>
      <w:pStyle w:val="BulletsParagraph"/>
      <w:lvlText w:val=""/>
      <w:lvlJc w:val="left"/>
      <w:pPr>
        <w:tabs>
          <w:tab w:val="num" w:pos="360"/>
        </w:tabs>
        <w:ind w:left="360" w:hanging="360"/>
      </w:pPr>
      <w:rPr>
        <w:rFonts w:ascii="Symbol" w:hAnsi="Symbol" w:hint="default"/>
      </w:rPr>
    </w:lvl>
  </w:abstractNum>
  <w:abstractNum w:abstractNumId="14" w15:restartNumberingAfterBreak="0">
    <w:nsid w:val="58766F32"/>
    <w:multiLevelType w:val="hybridMultilevel"/>
    <w:tmpl w:val="3B267416"/>
    <w:lvl w:ilvl="0" w:tplc="3AAE739A">
      <w:start w:val="1"/>
      <w:numFmt w:val="bullet"/>
      <w:lvlText w:val=""/>
      <w:lvlJc w:val="left"/>
      <w:pPr>
        <w:ind w:left="720" w:hanging="360"/>
      </w:pPr>
      <w:rPr>
        <w:rFonts w:ascii="Symbol" w:hAnsi="Symbol" w:hint="default"/>
      </w:rPr>
    </w:lvl>
    <w:lvl w:ilvl="1" w:tplc="646E2BDC" w:tentative="1">
      <w:start w:val="1"/>
      <w:numFmt w:val="bullet"/>
      <w:lvlText w:val="o"/>
      <w:lvlJc w:val="left"/>
      <w:pPr>
        <w:ind w:left="1440" w:hanging="360"/>
      </w:pPr>
      <w:rPr>
        <w:rFonts w:ascii="Courier New" w:hAnsi="Courier New" w:hint="default"/>
      </w:rPr>
    </w:lvl>
    <w:lvl w:ilvl="2" w:tplc="DD7A3AAC" w:tentative="1">
      <w:start w:val="1"/>
      <w:numFmt w:val="bullet"/>
      <w:lvlText w:val=""/>
      <w:lvlJc w:val="left"/>
      <w:pPr>
        <w:ind w:left="2160" w:hanging="360"/>
      </w:pPr>
      <w:rPr>
        <w:rFonts w:ascii="Wingdings" w:hAnsi="Wingdings" w:hint="default"/>
      </w:rPr>
    </w:lvl>
    <w:lvl w:ilvl="3" w:tplc="4DCE4250" w:tentative="1">
      <w:start w:val="1"/>
      <w:numFmt w:val="bullet"/>
      <w:lvlText w:val=""/>
      <w:lvlJc w:val="left"/>
      <w:pPr>
        <w:ind w:left="2880" w:hanging="360"/>
      </w:pPr>
      <w:rPr>
        <w:rFonts w:ascii="Symbol" w:hAnsi="Symbol" w:hint="default"/>
      </w:rPr>
    </w:lvl>
    <w:lvl w:ilvl="4" w:tplc="87BA50D8" w:tentative="1">
      <w:start w:val="1"/>
      <w:numFmt w:val="bullet"/>
      <w:lvlText w:val="o"/>
      <w:lvlJc w:val="left"/>
      <w:pPr>
        <w:ind w:left="3600" w:hanging="360"/>
      </w:pPr>
      <w:rPr>
        <w:rFonts w:ascii="Courier New" w:hAnsi="Courier New" w:hint="default"/>
      </w:rPr>
    </w:lvl>
    <w:lvl w:ilvl="5" w:tplc="F476E54A" w:tentative="1">
      <w:start w:val="1"/>
      <w:numFmt w:val="bullet"/>
      <w:lvlText w:val=""/>
      <w:lvlJc w:val="left"/>
      <w:pPr>
        <w:ind w:left="4320" w:hanging="360"/>
      </w:pPr>
      <w:rPr>
        <w:rFonts w:ascii="Wingdings" w:hAnsi="Wingdings" w:hint="default"/>
      </w:rPr>
    </w:lvl>
    <w:lvl w:ilvl="6" w:tplc="F1A86702" w:tentative="1">
      <w:start w:val="1"/>
      <w:numFmt w:val="bullet"/>
      <w:lvlText w:val=""/>
      <w:lvlJc w:val="left"/>
      <w:pPr>
        <w:ind w:left="5040" w:hanging="360"/>
      </w:pPr>
      <w:rPr>
        <w:rFonts w:ascii="Symbol" w:hAnsi="Symbol" w:hint="default"/>
      </w:rPr>
    </w:lvl>
    <w:lvl w:ilvl="7" w:tplc="55922128" w:tentative="1">
      <w:start w:val="1"/>
      <w:numFmt w:val="bullet"/>
      <w:lvlText w:val="o"/>
      <w:lvlJc w:val="left"/>
      <w:pPr>
        <w:ind w:left="5760" w:hanging="360"/>
      </w:pPr>
      <w:rPr>
        <w:rFonts w:ascii="Courier New" w:hAnsi="Courier New" w:hint="default"/>
      </w:rPr>
    </w:lvl>
    <w:lvl w:ilvl="8" w:tplc="6734BD1A" w:tentative="1">
      <w:start w:val="1"/>
      <w:numFmt w:val="bullet"/>
      <w:lvlText w:val=""/>
      <w:lvlJc w:val="left"/>
      <w:pPr>
        <w:ind w:left="6480" w:hanging="360"/>
      </w:pPr>
      <w:rPr>
        <w:rFonts w:ascii="Wingdings" w:hAnsi="Wingdings" w:hint="default"/>
      </w:rPr>
    </w:lvl>
  </w:abstractNum>
  <w:abstractNum w:abstractNumId="15" w15:restartNumberingAfterBreak="0">
    <w:nsid w:val="5AB4F7EA"/>
    <w:multiLevelType w:val="hybridMultilevel"/>
    <w:tmpl w:val="FFFFFFFF"/>
    <w:lvl w:ilvl="0" w:tplc="30A47C3C">
      <w:start w:val="1"/>
      <w:numFmt w:val="bullet"/>
      <w:lvlText w:val="·"/>
      <w:lvlJc w:val="left"/>
      <w:pPr>
        <w:ind w:left="720" w:hanging="360"/>
      </w:pPr>
      <w:rPr>
        <w:rFonts w:ascii="Symbol" w:hAnsi="Symbol" w:hint="default"/>
      </w:rPr>
    </w:lvl>
    <w:lvl w:ilvl="1" w:tplc="78ACC132">
      <w:start w:val="1"/>
      <w:numFmt w:val="bullet"/>
      <w:lvlText w:val="o"/>
      <w:lvlJc w:val="left"/>
      <w:pPr>
        <w:ind w:left="1440" w:hanging="360"/>
      </w:pPr>
      <w:rPr>
        <w:rFonts w:ascii="Courier New" w:hAnsi="Courier New" w:hint="default"/>
      </w:rPr>
    </w:lvl>
    <w:lvl w:ilvl="2" w:tplc="3EB03FF2">
      <w:start w:val="1"/>
      <w:numFmt w:val="bullet"/>
      <w:lvlText w:val=""/>
      <w:lvlJc w:val="left"/>
      <w:pPr>
        <w:ind w:left="2160" w:hanging="360"/>
      </w:pPr>
      <w:rPr>
        <w:rFonts w:ascii="Wingdings" w:hAnsi="Wingdings" w:hint="default"/>
      </w:rPr>
    </w:lvl>
    <w:lvl w:ilvl="3" w:tplc="A1442914">
      <w:start w:val="1"/>
      <w:numFmt w:val="bullet"/>
      <w:lvlText w:val=""/>
      <w:lvlJc w:val="left"/>
      <w:pPr>
        <w:ind w:left="2880" w:hanging="360"/>
      </w:pPr>
      <w:rPr>
        <w:rFonts w:ascii="Symbol" w:hAnsi="Symbol" w:hint="default"/>
      </w:rPr>
    </w:lvl>
    <w:lvl w:ilvl="4" w:tplc="5E36BB88">
      <w:start w:val="1"/>
      <w:numFmt w:val="bullet"/>
      <w:lvlText w:val="o"/>
      <w:lvlJc w:val="left"/>
      <w:pPr>
        <w:ind w:left="3600" w:hanging="360"/>
      </w:pPr>
      <w:rPr>
        <w:rFonts w:ascii="Courier New" w:hAnsi="Courier New" w:hint="default"/>
      </w:rPr>
    </w:lvl>
    <w:lvl w:ilvl="5" w:tplc="EC76EB68">
      <w:start w:val="1"/>
      <w:numFmt w:val="bullet"/>
      <w:lvlText w:val=""/>
      <w:lvlJc w:val="left"/>
      <w:pPr>
        <w:ind w:left="4320" w:hanging="360"/>
      </w:pPr>
      <w:rPr>
        <w:rFonts w:ascii="Wingdings" w:hAnsi="Wingdings" w:hint="default"/>
      </w:rPr>
    </w:lvl>
    <w:lvl w:ilvl="6" w:tplc="907C5812">
      <w:start w:val="1"/>
      <w:numFmt w:val="bullet"/>
      <w:lvlText w:val=""/>
      <w:lvlJc w:val="left"/>
      <w:pPr>
        <w:ind w:left="5040" w:hanging="360"/>
      </w:pPr>
      <w:rPr>
        <w:rFonts w:ascii="Symbol" w:hAnsi="Symbol" w:hint="default"/>
      </w:rPr>
    </w:lvl>
    <w:lvl w:ilvl="7" w:tplc="277E65F8">
      <w:start w:val="1"/>
      <w:numFmt w:val="bullet"/>
      <w:lvlText w:val="o"/>
      <w:lvlJc w:val="left"/>
      <w:pPr>
        <w:ind w:left="5760" w:hanging="360"/>
      </w:pPr>
      <w:rPr>
        <w:rFonts w:ascii="Courier New" w:hAnsi="Courier New" w:hint="default"/>
      </w:rPr>
    </w:lvl>
    <w:lvl w:ilvl="8" w:tplc="692C3CF2">
      <w:start w:val="1"/>
      <w:numFmt w:val="bullet"/>
      <w:lvlText w:val=""/>
      <w:lvlJc w:val="left"/>
      <w:pPr>
        <w:ind w:left="6480" w:hanging="360"/>
      </w:pPr>
      <w:rPr>
        <w:rFonts w:ascii="Wingdings" w:hAnsi="Wingdings" w:hint="default"/>
      </w:rPr>
    </w:lvl>
  </w:abstractNum>
  <w:abstractNum w:abstractNumId="16" w15:restartNumberingAfterBreak="0">
    <w:nsid w:val="61F002FB"/>
    <w:multiLevelType w:val="hybridMultilevel"/>
    <w:tmpl w:val="4CCE0FB6"/>
    <w:lvl w:ilvl="0" w:tplc="DAB63090">
      <w:start w:val="1"/>
      <w:numFmt w:val="bullet"/>
      <w:lvlText w:val="·"/>
      <w:lvlJc w:val="left"/>
      <w:pPr>
        <w:ind w:left="720" w:hanging="360"/>
      </w:pPr>
      <w:rPr>
        <w:rFonts w:ascii="Symbol" w:hAnsi="Symbol" w:hint="default"/>
      </w:rPr>
    </w:lvl>
    <w:lvl w:ilvl="1" w:tplc="50FC679C">
      <w:start w:val="1"/>
      <w:numFmt w:val="bullet"/>
      <w:lvlText w:val="·"/>
      <w:lvlJc w:val="left"/>
      <w:pPr>
        <w:ind w:left="1440" w:hanging="360"/>
      </w:pPr>
      <w:rPr>
        <w:rFonts w:ascii="Symbol" w:hAnsi="Symbol" w:hint="default"/>
      </w:rPr>
    </w:lvl>
    <w:lvl w:ilvl="2" w:tplc="2FB24EB0" w:tentative="1">
      <w:start w:val="1"/>
      <w:numFmt w:val="bullet"/>
      <w:lvlText w:val=""/>
      <w:lvlJc w:val="left"/>
      <w:pPr>
        <w:ind w:left="2160" w:hanging="360"/>
      </w:pPr>
      <w:rPr>
        <w:rFonts w:ascii="Wingdings" w:hAnsi="Wingdings" w:hint="default"/>
      </w:rPr>
    </w:lvl>
    <w:lvl w:ilvl="3" w:tplc="0F7C5DBC" w:tentative="1">
      <w:start w:val="1"/>
      <w:numFmt w:val="bullet"/>
      <w:lvlText w:val=""/>
      <w:lvlJc w:val="left"/>
      <w:pPr>
        <w:ind w:left="2880" w:hanging="360"/>
      </w:pPr>
      <w:rPr>
        <w:rFonts w:ascii="Symbol" w:hAnsi="Symbol" w:hint="default"/>
      </w:rPr>
    </w:lvl>
    <w:lvl w:ilvl="4" w:tplc="7CD463B4" w:tentative="1">
      <w:start w:val="1"/>
      <w:numFmt w:val="bullet"/>
      <w:lvlText w:val="o"/>
      <w:lvlJc w:val="left"/>
      <w:pPr>
        <w:ind w:left="3600" w:hanging="360"/>
      </w:pPr>
      <w:rPr>
        <w:rFonts w:ascii="Courier New" w:hAnsi="Courier New" w:cs="Courier New" w:hint="default"/>
      </w:rPr>
    </w:lvl>
    <w:lvl w:ilvl="5" w:tplc="84EA8EFA" w:tentative="1">
      <w:start w:val="1"/>
      <w:numFmt w:val="bullet"/>
      <w:lvlText w:val=""/>
      <w:lvlJc w:val="left"/>
      <w:pPr>
        <w:ind w:left="4320" w:hanging="360"/>
      </w:pPr>
      <w:rPr>
        <w:rFonts w:ascii="Wingdings" w:hAnsi="Wingdings" w:hint="default"/>
      </w:rPr>
    </w:lvl>
    <w:lvl w:ilvl="6" w:tplc="83E2E230" w:tentative="1">
      <w:start w:val="1"/>
      <w:numFmt w:val="bullet"/>
      <w:lvlText w:val=""/>
      <w:lvlJc w:val="left"/>
      <w:pPr>
        <w:ind w:left="5040" w:hanging="360"/>
      </w:pPr>
      <w:rPr>
        <w:rFonts w:ascii="Symbol" w:hAnsi="Symbol" w:hint="default"/>
      </w:rPr>
    </w:lvl>
    <w:lvl w:ilvl="7" w:tplc="CC52FBD2" w:tentative="1">
      <w:start w:val="1"/>
      <w:numFmt w:val="bullet"/>
      <w:lvlText w:val="o"/>
      <w:lvlJc w:val="left"/>
      <w:pPr>
        <w:ind w:left="5760" w:hanging="360"/>
      </w:pPr>
      <w:rPr>
        <w:rFonts w:ascii="Courier New" w:hAnsi="Courier New" w:cs="Courier New" w:hint="default"/>
      </w:rPr>
    </w:lvl>
    <w:lvl w:ilvl="8" w:tplc="3B989276" w:tentative="1">
      <w:start w:val="1"/>
      <w:numFmt w:val="bullet"/>
      <w:lvlText w:val=""/>
      <w:lvlJc w:val="left"/>
      <w:pPr>
        <w:ind w:left="6480" w:hanging="360"/>
      </w:pPr>
      <w:rPr>
        <w:rFonts w:ascii="Wingdings" w:hAnsi="Wingdings" w:hint="default"/>
      </w:rPr>
    </w:lvl>
  </w:abstractNum>
  <w:abstractNum w:abstractNumId="17" w15:restartNumberingAfterBreak="0">
    <w:nsid w:val="6A8839F2"/>
    <w:multiLevelType w:val="singleLevel"/>
    <w:tmpl w:val="07940BA8"/>
    <w:name w:val="BulletB"/>
    <w:lvl w:ilvl="0">
      <w:start w:val="1"/>
      <w:numFmt w:val="bullet"/>
      <w:pStyle w:val="GOBulletlist2"/>
      <w:lvlText w:val=""/>
      <w:lvlJc w:val="left"/>
      <w:pPr>
        <w:tabs>
          <w:tab w:val="num" w:pos="720"/>
        </w:tabs>
        <w:ind w:left="720" w:hanging="360"/>
      </w:pPr>
      <w:rPr>
        <w:rFonts w:ascii="Wingdings" w:hAnsi="Wingdings" w:hint="default"/>
      </w:rPr>
    </w:lvl>
  </w:abstractNum>
  <w:abstractNum w:abstractNumId="18" w15:restartNumberingAfterBreak="0">
    <w:nsid w:val="6B9A53FE"/>
    <w:multiLevelType w:val="singleLevel"/>
    <w:tmpl w:val="CEA893DE"/>
    <w:name w:val="BulletsLine"/>
    <w:lvl w:ilvl="0">
      <w:start w:val="1"/>
      <w:numFmt w:val="bullet"/>
      <w:pStyle w:val="BulletsLine"/>
      <w:lvlText w:val=""/>
      <w:lvlJc w:val="left"/>
      <w:pPr>
        <w:tabs>
          <w:tab w:val="num" w:pos="360"/>
        </w:tabs>
        <w:ind w:left="360" w:hanging="360"/>
      </w:pPr>
      <w:rPr>
        <w:rFonts w:ascii="Symbol" w:hAnsi="Symbol" w:hint="default"/>
      </w:rPr>
    </w:lvl>
  </w:abstractNum>
  <w:abstractNum w:abstractNumId="19" w15:restartNumberingAfterBreak="0">
    <w:nsid w:val="6D260EB5"/>
    <w:multiLevelType w:val="hybridMultilevel"/>
    <w:tmpl w:val="BF407C16"/>
    <w:lvl w:ilvl="0" w:tplc="302A163C">
      <w:start w:val="1"/>
      <w:numFmt w:val="bullet"/>
      <w:lvlText w:val=""/>
      <w:lvlJc w:val="left"/>
      <w:pPr>
        <w:ind w:left="720" w:hanging="360"/>
      </w:pPr>
      <w:rPr>
        <w:rFonts w:ascii="Symbol" w:hAnsi="Symbol" w:hint="default"/>
      </w:rPr>
    </w:lvl>
    <w:lvl w:ilvl="1" w:tplc="47062F5E" w:tentative="1">
      <w:start w:val="1"/>
      <w:numFmt w:val="bullet"/>
      <w:lvlText w:val="o"/>
      <w:lvlJc w:val="left"/>
      <w:pPr>
        <w:ind w:left="1440" w:hanging="360"/>
      </w:pPr>
      <w:rPr>
        <w:rFonts w:ascii="Courier New" w:hAnsi="Courier New" w:cs="Courier New" w:hint="default"/>
      </w:rPr>
    </w:lvl>
    <w:lvl w:ilvl="2" w:tplc="ADDEBA32" w:tentative="1">
      <w:start w:val="1"/>
      <w:numFmt w:val="bullet"/>
      <w:lvlText w:val=""/>
      <w:lvlJc w:val="left"/>
      <w:pPr>
        <w:ind w:left="2160" w:hanging="360"/>
      </w:pPr>
      <w:rPr>
        <w:rFonts w:ascii="Wingdings" w:hAnsi="Wingdings" w:hint="default"/>
      </w:rPr>
    </w:lvl>
    <w:lvl w:ilvl="3" w:tplc="B8C0253C" w:tentative="1">
      <w:start w:val="1"/>
      <w:numFmt w:val="bullet"/>
      <w:lvlText w:val=""/>
      <w:lvlJc w:val="left"/>
      <w:pPr>
        <w:ind w:left="2880" w:hanging="360"/>
      </w:pPr>
      <w:rPr>
        <w:rFonts w:ascii="Symbol" w:hAnsi="Symbol" w:hint="default"/>
      </w:rPr>
    </w:lvl>
    <w:lvl w:ilvl="4" w:tplc="D86C5138" w:tentative="1">
      <w:start w:val="1"/>
      <w:numFmt w:val="bullet"/>
      <w:lvlText w:val="o"/>
      <w:lvlJc w:val="left"/>
      <w:pPr>
        <w:ind w:left="3600" w:hanging="360"/>
      </w:pPr>
      <w:rPr>
        <w:rFonts w:ascii="Courier New" w:hAnsi="Courier New" w:cs="Courier New" w:hint="default"/>
      </w:rPr>
    </w:lvl>
    <w:lvl w:ilvl="5" w:tplc="29587DDA" w:tentative="1">
      <w:start w:val="1"/>
      <w:numFmt w:val="bullet"/>
      <w:lvlText w:val=""/>
      <w:lvlJc w:val="left"/>
      <w:pPr>
        <w:ind w:left="4320" w:hanging="360"/>
      </w:pPr>
      <w:rPr>
        <w:rFonts w:ascii="Wingdings" w:hAnsi="Wingdings" w:hint="default"/>
      </w:rPr>
    </w:lvl>
    <w:lvl w:ilvl="6" w:tplc="B3EA9290" w:tentative="1">
      <w:start w:val="1"/>
      <w:numFmt w:val="bullet"/>
      <w:lvlText w:val=""/>
      <w:lvlJc w:val="left"/>
      <w:pPr>
        <w:ind w:left="5040" w:hanging="360"/>
      </w:pPr>
      <w:rPr>
        <w:rFonts w:ascii="Symbol" w:hAnsi="Symbol" w:hint="default"/>
      </w:rPr>
    </w:lvl>
    <w:lvl w:ilvl="7" w:tplc="2834D07C" w:tentative="1">
      <w:start w:val="1"/>
      <w:numFmt w:val="bullet"/>
      <w:lvlText w:val="o"/>
      <w:lvlJc w:val="left"/>
      <w:pPr>
        <w:ind w:left="5760" w:hanging="360"/>
      </w:pPr>
      <w:rPr>
        <w:rFonts w:ascii="Courier New" w:hAnsi="Courier New" w:cs="Courier New" w:hint="default"/>
      </w:rPr>
    </w:lvl>
    <w:lvl w:ilvl="8" w:tplc="B792E4A6" w:tentative="1">
      <w:start w:val="1"/>
      <w:numFmt w:val="bullet"/>
      <w:lvlText w:val=""/>
      <w:lvlJc w:val="left"/>
      <w:pPr>
        <w:ind w:left="6480" w:hanging="360"/>
      </w:pPr>
      <w:rPr>
        <w:rFonts w:ascii="Wingdings" w:hAnsi="Wingdings" w:hint="default"/>
      </w:rPr>
    </w:lvl>
  </w:abstractNum>
  <w:abstractNum w:abstractNumId="20" w15:restartNumberingAfterBreak="0">
    <w:nsid w:val="71C44508"/>
    <w:multiLevelType w:val="hybridMultilevel"/>
    <w:tmpl w:val="FD649D6C"/>
    <w:lvl w:ilvl="0" w:tplc="57C217E2">
      <w:start w:val="1"/>
      <w:numFmt w:val="bullet"/>
      <w:lvlText w:val=""/>
      <w:lvlJc w:val="left"/>
      <w:pPr>
        <w:ind w:left="720" w:hanging="360"/>
      </w:pPr>
      <w:rPr>
        <w:rFonts w:ascii="Symbol" w:hAnsi="Symbol" w:hint="default"/>
      </w:rPr>
    </w:lvl>
    <w:lvl w:ilvl="1" w:tplc="82E04EB4" w:tentative="1">
      <w:start w:val="1"/>
      <w:numFmt w:val="bullet"/>
      <w:lvlText w:val="o"/>
      <w:lvlJc w:val="left"/>
      <w:pPr>
        <w:ind w:left="1440" w:hanging="360"/>
      </w:pPr>
      <w:rPr>
        <w:rFonts w:ascii="Courier New" w:hAnsi="Courier New" w:cs="Courier New" w:hint="default"/>
      </w:rPr>
    </w:lvl>
    <w:lvl w:ilvl="2" w:tplc="9DFE86D6" w:tentative="1">
      <w:start w:val="1"/>
      <w:numFmt w:val="bullet"/>
      <w:lvlText w:val=""/>
      <w:lvlJc w:val="left"/>
      <w:pPr>
        <w:ind w:left="2160" w:hanging="360"/>
      </w:pPr>
      <w:rPr>
        <w:rFonts w:ascii="Wingdings" w:hAnsi="Wingdings" w:hint="default"/>
      </w:rPr>
    </w:lvl>
    <w:lvl w:ilvl="3" w:tplc="3A6A7F58" w:tentative="1">
      <w:start w:val="1"/>
      <w:numFmt w:val="bullet"/>
      <w:lvlText w:val=""/>
      <w:lvlJc w:val="left"/>
      <w:pPr>
        <w:ind w:left="2880" w:hanging="360"/>
      </w:pPr>
      <w:rPr>
        <w:rFonts w:ascii="Symbol" w:hAnsi="Symbol" w:hint="default"/>
      </w:rPr>
    </w:lvl>
    <w:lvl w:ilvl="4" w:tplc="BA9C73D0" w:tentative="1">
      <w:start w:val="1"/>
      <w:numFmt w:val="bullet"/>
      <w:lvlText w:val="o"/>
      <w:lvlJc w:val="left"/>
      <w:pPr>
        <w:ind w:left="3600" w:hanging="360"/>
      </w:pPr>
      <w:rPr>
        <w:rFonts w:ascii="Courier New" w:hAnsi="Courier New" w:cs="Courier New" w:hint="default"/>
      </w:rPr>
    </w:lvl>
    <w:lvl w:ilvl="5" w:tplc="8000F664" w:tentative="1">
      <w:start w:val="1"/>
      <w:numFmt w:val="bullet"/>
      <w:lvlText w:val=""/>
      <w:lvlJc w:val="left"/>
      <w:pPr>
        <w:ind w:left="4320" w:hanging="360"/>
      </w:pPr>
      <w:rPr>
        <w:rFonts w:ascii="Wingdings" w:hAnsi="Wingdings" w:hint="default"/>
      </w:rPr>
    </w:lvl>
    <w:lvl w:ilvl="6" w:tplc="17D47AAC" w:tentative="1">
      <w:start w:val="1"/>
      <w:numFmt w:val="bullet"/>
      <w:lvlText w:val=""/>
      <w:lvlJc w:val="left"/>
      <w:pPr>
        <w:ind w:left="5040" w:hanging="360"/>
      </w:pPr>
      <w:rPr>
        <w:rFonts w:ascii="Symbol" w:hAnsi="Symbol" w:hint="default"/>
      </w:rPr>
    </w:lvl>
    <w:lvl w:ilvl="7" w:tplc="8D2EA242" w:tentative="1">
      <w:start w:val="1"/>
      <w:numFmt w:val="bullet"/>
      <w:lvlText w:val="o"/>
      <w:lvlJc w:val="left"/>
      <w:pPr>
        <w:ind w:left="5760" w:hanging="360"/>
      </w:pPr>
      <w:rPr>
        <w:rFonts w:ascii="Courier New" w:hAnsi="Courier New" w:cs="Courier New" w:hint="default"/>
      </w:rPr>
    </w:lvl>
    <w:lvl w:ilvl="8" w:tplc="6AE2CD88" w:tentative="1">
      <w:start w:val="1"/>
      <w:numFmt w:val="bullet"/>
      <w:lvlText w:val=""/>
      <w:lvlJc w:val="left"/>
      <w:pPr>
        <w:ind w:left="6480" w:hanging="360"/>
      </w:pPr>
      <w:rPr>
        <w:rFonts w:ascii="Wingdings" w:hAnsi="Wingdings" w:hint="default"/>
      </w:rPr>
    </w:lvl>
  </w:abstractNum>
  <w:abstractNum w:abstractNumId="21" w15:restartNumberingAfterBreak="0">
    <w:nsid w:val="74CD2789"/>
    <w:multiLevelType w:val="singleLevel"/>
    <w:tmpl w:val="3A7273C6"/>
    <w:name w:val="BulletA"/>
    <w:lvl w:ilvl="0">
      <w:start w:val="1"/>
      <w:numFmt w:val="bullet"/>
      <w:pStyle w:val="GOBulletlist1"/>
      <w:lvlText w:val=""/>
      <w:lvlJc w:val="left"/>
      <w:pPr>
        <w:tabs>
          <w:tab w:val="num" w:pos="360"/>
        </w:tabs>
        <w:ind w:left="360" w:hanging="360"/>
      </w:pPr>
      <w:rPr>
        <w:rFonts w:ascii="Symbol" w:hAnsi="Symbol" w:hint="default"/>
        <w:b w:val="0"/>
        <w:i w:val="0"/>
        <w:sz w:val="24"/>
      </w:rPr>
    </w:lvl>
  </w:abstractNum>
  <w:abstractNum w:abstractNumId="22" w15:restartNumberingAfterBreak="0">
    <w:nsid w:val="7ABF83C0"/>
    <w:multiLevelType w:val="hybridMultilevel"/>
    <w:tmpl w:val="E5E88EB8"/>
    <w:lvl w:ilvl="0" w:tplc="5C6E64A8">
      <w:start w:val="1"/>
      <w:numFmt w:val="bullet"/>
      <w:lvlText w:val="·"/>
      <w:lvlJc w:val="left"/>
      <w:pPr>
        <w:ind w:left="720" w:hanging="360"/>
      </w:pPr>
      <w:rPr>
        <w:rFonts w:ascii="Symbol" w:hAnsi="Symbol" w:hint="default"/>
      </w:rPr>
    </w:lvl>
    <w:lvl w:ilvl="1" w:tplc="F246F8B8">
      <w:start w:val="1"/>
      <w:numFmt w:val="bullet"/>
      <w:lvlText w:val="o"/>
      <w:lvlJc w:val="left"/>
      <w:pPr>
        <w:ind w:left="1440" w:hanging="360"/>
      </w:pPr>
      <w:rPr>
        <w:rFonts w:ascii="Courier New" w:hAnsi="Courier New" w:hint="default"/>
      </w:rPr>
    </w:lvl>
    <w:lvl w:ilvl="2" w:tplc="4C7E0A4A">
      <w:start w:val="1"/>
      <w:numFmt w:val="bullet"/>
      <w:lvlText w:val=""/>
      <w:lvlJc w:val="left"/>
      <w:pPr>
        <w:ind w:left="2160" w:hanging="360"/>
      </w:pPr>
      <w:rPr>
        <w:rFonts w:ascii="Wingdings" w:hAnsi="Wingdings" w:hint="default"/>
      </w:rPr>
    </w:lvl>
    <w:lvl w:ilvl="3" w:tplc="318C2E64">
      <w:start w:val="1"/>
      <w:numFmt w:val="bullet"/>
      <w:lvlText w:val=""/>
      <w:lvlJc w:val="left"/>
      <w:pPr>
        <w:ind w:left="2880" w:hanging="360"/>
      </w:pPr>
      <w:rPr>
        <w:rFonts w:ascii="Symbol" w:hAnsi="Symbol" w:hint="default"/>
      </w:rPr>
    </w:lvl>
    <w:lvl w:ilvl="4" w:tplc="08842EA2">
      <w:start w:val="1"/>
      <w:numFmt w:val="bullet"/>
      <w:lvlText w:val="o"/>
      <w:lvlJc w:val="left"/>
      <w:pPr>
        <w:ind w:left="3600" w:hanging="360"/>
      </w:pPr>
      <w:rPr>
        <w:rFonts w:ascii="Courier New" w:hAnsi="Courier New" w:hint="default"/>
      </w:rPr>
    </w:lvl>
    <w:lvl w:ilvl="5" w:tplc="54E4132E">
      <w:start w:val="1"/>
      <w:numFmt w:val="bullet"/>
      <w:lvlText w:val=""/>
      <w:lvlJc w:val="left"/>
      <w:pPr>
        <w:ind w:left="4320" w:hanging="360"/>
      </w:pPr>
      <w:rPr>
        <w:rFonts w:ascii="Wingdings" w:hAnsi="Wingdings" w:hint="default"/>
      </w:rPr>
    </w:lvl>
    <w:lvl w:ilvl="6" w:tplc="3956F282">
      <w:start w:val="1"/>
      <w:numFmt w:val="bullet"/>
      <w:lvlText w:val=""/>
      <w:lvlJc w:val="left"/>
      <w:pPr>
        <w:ind w:left="5040" w:hanging="360"/>
      </w:pPr>
      <w:rPr>
        <w:rFonts w:ascii="Symbol" w:hAnsi="Symbol" w:hint="default"/>
      </w:rPr>
    </w:lvl>
    <w:lvl w:ilvl="7" w:tplc="238ACE5A">
      <w:start w:val="1"/>
      <w:numFmt w:val="bullet"/>
      <w:lvlText w:val="o"/>
      <w:lvlJc w:val="left"/>
      <w:pPr>
        <w:ind w:left="5760" w:hanging="360"/>
      </w:pPr>
      <w:rPr>
        <w:rFonts w:ascii="Courier New" w:hAnsi="Courier New" w:hint="default"/>
      </w:rPr>
    </w:lvl>
    <w:lvl w:ilvl="8" w:tplc="DDEADDA4">
      <w:start w:val="1"/>
      <w:numFmt w:val="bullet"/>
      <w:lvlText w:val=""/>
      <w:lvlJc w:val="left"/>
      <w:pPr>
        <w:ind w:left="6480" w:hanging="360"/>
      </w:pPr>
      <w:rPr>
        <w:rFonts w:ascii="Wingdings" w:hAnsi="Wingdings" w:hint="default"/>
      </w:rPr>
    </w:lvl>
  </w:abstractNum>
  <w:num w:numId="1" w16cid:durableId="241917132">
    <w:abstractNumId w:val="15"/>
  </w:num>
  <w:num w:numId="2" w16cid:durableId="983117205">
    <w:abstractNumId w:val="3"/>
  </w:num>
  <w:num w:numId="3" w16cid:durableId="1684548725">
    <w:abstractNumId w:val="4"/>
  </w:num>
  <w:num w:numId="4" w16cid:durableId="2087922927">
    <w:abstractNumId w:val="18"/>
  </w:num>
  <w:num w:numId="5" w16cid:durableId="515464598">
    <w:abstractNumId w:val="13"/>
  </w:num>
  <w:num w:numId="6" w16cid:durableId="1279482670">
    <w:abstractNumId w:val="17"/>
  </w:num>
  <w:num w:numId="7" w16cid:durableId="1751583617">
    <w:abstractNumId w:val="21"/>
  </w:num>
  <w:num w:numId="8" w16cid:durableId="673920486">
    <w:abstractNumId w:val="6"/>
  </w:num>
  <w:num w:numId="9" w16cid:durableId="861356142">
    <w:abstractNumId w:val="2"/>
  </w:num>
  <w:num w:numId="10" w16cid:durableId="1371612891">
    <w:abstractNumId w:val="11"/>
  </w:num>
  <w:num w:numId="11" w16cid:durableId="136335988">
    <w:abstractNumId w:val="8"/>
  </w:num>
  <w:num w:numId="12" w16cid:durableId="73284446">
    <w:abstractNumId w:val="16"/>
  </w:num>
  <w:num w:numId="13" w16cid:durableId="230652862">
    <w:abstractNumId w:val="10"/>
  </w:num>
  <w:num w:numId="14" w16cid:durableId="331760005">
    <w:abstractNumId w:val="14"/>
  </w:num>
  <w:num w:numId="15" w16cid:durableId="372119189">
    <w:abstractNumId w:val="22"/>
  </w:num>
  <w:num w:numId="16" w16cid:durableId="196545289">
    <w:abstractNumId w:val="1"/>
  </w:num>
  <w:num w:numId="17" w16cid:durableId="577443148">
    <w:abstractNumId w:val="9"/>
  </w:num>
  <w:num w:numId="18" w16cid:durableId="1382943901">
    <w:abstractNumId w:val="0"/>
  </w:num>
  <w:num w:numId="19" w16cid:durableId="2034722144">
    <w:abstractNumId w:val="20"/>
  </w:num>
  <w:num w:numId="20" w16cid:durableId="451444316">
    <w:abstractNumId w:val="19"/>
  </w:num>
  <w:num w:numId="21" w16cid:durableId="1628464057">
    <w:abstractNumId w:val="5"/>
  </w:num>
  <w:num w:numId="22" w16cid:durableId="541139569">
    <w:abstractNumId w:val="12"/>
  </w:num>
  <w:num w:numId="23" w16cid:durableId="12729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8D6984"/>
    <w:rsid w:val="0001013B"/>
    <w:rsid w:val="00014536"/>
    <w:rsid w:val="00015278"/>
    <w:rsid w:val="0001566D"/>
    <w:rsid w:val="000178A2"/>
    <w:rsid w:val="00022B13"/>
    <w:rsid w:val="00022F5D"/>
    <w:rsid w:val="00024B9A"/>
    <w:rsid w:val="00024C76"/>
    <w:rsid w:val="000253D0"/>
    <w:rsid w:val="0002662A"/>
    <w:rsid w:val="000277E0"/>
    <w:rsid w:val="000317E2"/>
    <w:rsid w:val="00032906"/>
    <w:rsid w:val="0004022C"/>
    <w:rsid w:val="000416B6"/>
    <w:rsid w:val="0004202F"/>
    <w:rsid w:val="00042938"/>
    <w:rsid w:val="00051353"/>
    <w:rsid w:val="0005364E"/>
    <w:rsid w:val="00053D5E"/>
    <w:rsid w:val="00055665"/>
    <w:rsid w:val="000568E3"/>
    <w:rsid w:val="000616A0"/>
    <w:rsid w:val="00061AF5"/>
    <w:rsid w:val="00061F5C"/>
    <w:rsid w:val="00063124"/>
    <w:rsid w:val="00066D9F"/>
    <w:rsid w:val="0006742F"/>
    <w:rsid w:val="000710E8"/>
    <w:rsid w:val="0007238E"/>
    <w:rsid w:val="00076CCE"/>
    <w:rsid w:val="00077924"/>
    <w:rsid w:val="00080361"/>
    <w:rsid w:val="0008726E"/>
    <w:rsid w:val="0009257C"/>
    <w:rsid w:val="00094A71"/>
    <w:rsid w:val="000A614D"/>
    <w:rsid w:val="000A73AF"/>
    <w:rsid w:val="000B21CB"/>
    <w:rsid w:val="000B255D"/>
    <w:rsid w:val="000B4652"/>
    <w:rsid w:val="000C02B0"/>
    <w:rsid w:val="000C13FA"/>
    <w:rsid w:val="000C2304"/>
    <w:rsid w:val="000C2424"/>
    <w:rsid w:val="000C5173"/>
    <w:rsid w:val="000C75CB"/>
    <w:rsid w:val="000D6A13"/>
    <w:rsid w:val="000E0B99"/>
    <w:rsid w:val="000E202F"/>
    <w:rsid w:val="000E3E6F"/>
    <w:rsid w:val="000F2E9D"/>
    <w:rsid w:val="000F7A42"/>
    <w:rsid w:val="001008C4"/>
    <w:rsid w:val="00100D8D"/>
    <w:rsid w:val="00102CE0"/>
    <w:rsid w:val="00105671"/>
    <w:rsid w:val="00110675"/>
    <w:rsid w:val="001134EB"/>
    <w:rsid w:val="001155B6"/>
    <w:rsid w:val="00115AB0"/>
    <w:rsid w:val="00120B92"/>
    <w:rsid w:val="001238AB"/>
    <w:rsid w:val="00124123"/>
    <w:rsid w:val="001241EC"/>
    <w:rsid w:val="00125DFB"/>
    <w:rsid w:val="00127F26"/>
    <w:rsid w:val="00130EDC"/>
    <w:rsid w:val="001311A9"/>
    <w:rsid w:val="001368B6"/>
    <w:rsid w:val="00143B13"/>
    <w:rsid w:val="00151E8C"/>
    <w:rsid w:val="0015200B"/>
    <w:rsid w:val="00152109"/>
    <w:rsid w:val="00155D69"/>
    <w:rsid w:val="00156092"/>
    <w:rsid w:val="001566EC"/>
    <w:rsid w:val="0015720C"/>
    <w:rsid w:val="00157FF4"/>
    <w:rsid w:val="00163296"/>
    <w:rsid w:val="00163BDD"/>
    <w:rsid w:val="00166403"/>
    <w:rsid w:val="0016699A"/>
    <w:rsid w:val="00167D3E"/>
    <w:rsid w:val="0017160F"/>
    <w:rsid w:val="0017421E"/>
    <w:rsid w:val="00180B81"/>
    <w:rsid w:val="0018120D"/>
    <w:rsid w:val="00181B4B"/>
    <w:rsid w:val="001820BF"/>
    <w:rsid w:val="00182752"/>
    <w:rsid w:val="00183B38"/>
    <w:rsid w:val="00184DC3"/>
    <w:rsid w:val="0018515A"/>
    <w:rsid w:val="00190589"/>
    <w:rsid w:val="0019140C"/>
    <w:rsid w:val="0019257C"/>
    <w:rsid w:val="001946A7"/>
    <w:rsid w:val="00194982"/>
    <w:rsid w:val="00194BEC"/>
    <w:rsid w:val="00194E4A"/>
    <w:rsid w:val="001962DF"/>
    <w:rsid w:val="00196E64"/>
    <w:rsid w:val="001A145B"/>
    <w:rsid w:val="001A3108"/>
    <w:rsid w:val="001A4692"/>
    <w:rsid w:val="001A52A3"/>
    <w:rsid w:val="001A774D"/>
    <w:rsid w:val="001B095C"/>
    <w:rsid w:val="001B1F36"/>
    <w:rsid w:val="001B32E3"/>
    <w:rsid w:val="001B509E"/>
    <w:rsid w:val="001C3A91"/>
    <w:rsid w:val="001C608E"/>
    <w:rsid w:val="001D06C7"/>
    <w:rsid w:val="001D2511"/>
    <w:rsid w:val="001D27D3"/>
    <w:rsid w:val="001D3E68"/>
    <w:rsid w:val="001D4315"/>
    <w:rsid w:val="001D6EE3"/>
    <w:rsid w:val="001E1B87"/>
    <w:rsid w:val="001E63E1"/>
    <w:rsid w:val="001F2FAF"/>
    <w:rsid w:val="00200457"/>
    <w:rsid w:val="00206F0B"/>
    <w:rsid w:val="00206FE3"/>
    <w:rsid w:val="0020715C"/>
    <w:rsid w:val="00216EF1"/>
    <w:rsid w:val="00217BF0"/>
    <w:rsid w:val="0022033A"/>
    <w:rsid w:val="002227C4"/>
    <w:rsid w:val="00222B3C"/>
    <w:rsid w:val="002232DA"/>
    <w:rsid w:val="00225622"/>
    <w:rsid w:val="00233A0F"/>
    <w:rsid w:val="002352B4"/>
    <w:rsid w:val="002361FC"/>
    <w:rsid w:val="00236B65"/>
    <w:rsid w:val="00240717"/>
    <w:rsid w:val="00242F74"/>
    <w:rsid w:val="00243D81"/>
    <w:rsid w:val="00246572"/>
    <w:rsid w:val="0025014A"/>
    <w:rsid w:val="00252D40"/>
    <w:rsid w:val="002569C6"/>
    <w:rsid w:val="002579CF"/>
    <w:rsid w:val="00260408"/>
    <w:rsid w:val="00263B81"/>
    <w:rsid w:val="00264751"/>
    <w:rsid w:val="00266A32"/>
    <w:rsid w:val="00267190"/>
    <w:rsid w:val="00270C47"/>
    <w:rsid w:val="00274262"/>
    <w:rsid w:val="0027781D"/>
    <w:rsid w:val="002837CE"/>
    <w:rsid w:val="002839D6"/>
    <w:rsid w:val="00287CC0"/>
    <w:rsid w:val="002904F4"/>
    <w:rsid w:val="00290947"/>
    <w:rsid w:val="00290D36"/>
    <w:rsid w:val="00291214"/>
    <w:rsid w:val="0029560D"/>
    <w:rsid w:val="002973F1"/>
    <w:rsid w:val="002A0F79"/>
    <w:rsid w:val="002A1153"/>
    <w:rsid w:val="002A1F94"/>
    <w:rsid w:val="002A2B28"/>
    <w:rsid w:val="002A2C79"/>
    <w:rsid w:val="002B0A39"/>
    <w:rsid w:val="002B186A"/>
    <w:rsid w:val="002B3880"/>
    <w:rsid w:val="002B4312"/>
    <w:rsid w:val="002B6A7A"/>
    <w:rsid w:val="002B768A"/>
    <w:rsid w:val="002C0BAD"/>
    <w:rsid w:val="002C2DF6"/>
    <w:rsid w:val="002C3CF6"/>
    <w:rsid w:val="002C53DA"/>
    <w:rsid w:val="002D1CE6"/>
    <w:rsid w:val="002D4885"/>
    <w:rsid w:val="002E02E0"/>
    <w:rsid w:val="002E1F71"/>
    <w:rsid w:val="002E4879"/>
    <w:rsid w:val="002E7E36"/>
    <w:rsid w:val="002F08DE"/>
    <w:rsid w:val="002F4B07"/>
    <w:rsid w:val="002F622C"/>
    <w:rsid w:val="00305D2F"/>
    <w:rsid w:val="00305EEF"/>
    <w:rsid w:val="00311F5F"/>
    <w:rsid w:val="003203BE"/>
    <w:rsid w:val="00320EEE"/>
    <w:rsid w:val="003213E0"/>
    <w:rsid w:val="00324057"/>
    <w:rsid w:val="00324CF0"/>
    <w:rsid w:val="00325F3A"/>
    <w:rsid w:val="00331BCA"/>
    <w:rsid w:val="00331F36"/>
    <w:rsid w:val="003339C3"/>
    <w:rsid w:val="00334809"/>
    <w:rsid w:val="0033707A"/>
    <w:rsid w:val="00340151"/>
    <w:rsid w:val="00345541"/>
    <w:rsid w:val="0034787F"/>
    <w:rsid w:val="00350EEF"/>
    <w:rsid w:val="00354B1D"/>
    <w:rsid w:val="003555FE"/>
    <w:rsid w:val="00360A6B"/>
    <w:rsid w:val="00362FFE"/>
    <w:rsid w:val="00364F01"/>
    <w:rsid w:val="0036684E"/>
    <w:rsid w:val="003700FD"/>
    <w:rsid w:val="00372CEC"/>
    <w:rsid w:val="003742AA"/>
    <w:rsid w:val="00382360"/>
    <w:rsid w:val="0038270E"/>
    <w:rsid w:val="003829C4"/>
    <w:rsid w:val="003829C6"/>
    <w:rsid w:val="003835AD"/>
    <w:rsid w:val="00384882"/>
    <w:rsid w:val="0038663C"/>
    <w:rsid w:val="003926FB"/>
    <w:rsid w:val="00393CF0"/>
    <w:rsid w:val="00395B85"/>
    <w:rsid w:val="003962C4"/>
    <w:rsid w:val="0039655D"/>
    <w:rsid w:val="003A1035"/>
    <w:rsid w:val="003A1210"/>
    <w:rsid w:val="003A2D90"/>
    <w:rsid w:val="003A7E20"/>
    <w:rsid w:val="003B1749"/>
    <w:rsid w:val="003B1F66"/>
    <w:rsid w:val="003B3A46"/>
    <w:rsid w:val="003B4412"/>
    <w:rsid w:val="003C08DC"/>
    <w:rsid w:val="003C3178"/>
    <w:rsid w:val="003C34B5"/>
    <w:rsid w:val="003C4677"/>
    <w:rsid w:val="003C4A45"/>
    <w:rsid w:val="003C635D"/>
    <w:rsid w:val="003D0DF2"/>
    <w:rsid w:val="003D6259"/>
    <w:rsid w:val="003D7534"/>
    <w:rsid w:val="003E17EB"/>
    <w:rsid w:val="003E7878"/>
    <w:rsid w:val="003F27BF"/>
    <w:rsid w:val="003F44BF"/>
    <w:rsid w:val="003F778F"/>
    <w:rsid w:val="0040036E"/>
    <w:rsid w:val="00416412"/>
    <w:rsid w:val="00417D88"/>
    <w:rsid w:val="00420993"/>
    <w:rsid w:val="004216C6"/>
    <w:rsid w:val="0042601D"/>
    <w:rsid w:val="00434E6D"/>
    <w:rsid w:val="004355C9"/>
    <w:rsid w:val="00435B63"/>
    <w:rsid w:val="004373CE"/>
    <w:rsid w:val="0043753F"/>
    <w:rsid w:val="00441934"/>
    <w:rsid w:val="00441E0C"/>
    <w:rsid w:val="004469AA"/>
    <w:rsid w:val="00451093"/>
    <w:rsid w:val="00461E73"/>
    <w:rsid w:val="00471C87"/>
    <w:rsid w:val="004731C6"/>
    <w:rsid w:val="00474133"/>
    <w:rsid w:val="004747F8"/>
    <w:rsid w:val="0047494D"/>
    <w:rsid w:val="00484EA0"/>
    <w:rsid w:val="0048540C"/>
    <w:rsid w:val="004877C0"/>
    <w:rsid w:val="00492E77"/>
    <w:rsid w:val="004961D7"/>
    <w:rsid w:val="004A0D15"/>
    <w:rsid w:val="004A20D9"/>
    <w:rsid w:val="004A4964"/>
    <w:rsid w:val="004A504E"/>
    <w:rsid w:val="004A6B02"/>
    <w:rsid w:val="004AB718"/>
    <w:rsid w:val="004B0680"/>
    <w:rsid w:val="004B2BAD"/>
    <w:rsid w:val="004B3B19"/>
    <w:rsid w:val="004C0DB6"/>
    <w:rsid w:val="004C10B5"/>
    <w:rsid w:val="004C26F7"/>
    <w:rsid w:val="004C44DE"/>
    <w:rsid w:val="004D1CE3"/>
    <w:rsid w:val="004D50C6"/>
    <w:rsid w:val="004E01DF"/>
    <w:rsid w:val="004E062A"/>
    <w:rsid w:val="004F2657"/>
    <w:rsid w:val="004F334F"/>
    <w:rsid w:val="004F4FCC"/>
    <w:rsid w:val="004F553D"/>
    <w:rsid w:val="004F654E"/>
    <w:rsid w:val="004F744A"/>
    <w:rsid w:val="00503E5E"/>
    <w:rsid w:val="00505275"/>
    <w:rsid w:val="005069C7"/>
    <w:rsid w:val="00510758"/>
    <w:rsid w:val="005108FB"/>
    <w:rsid w:val="00513356"/>
    <w:rsid w:val="00514B35"/>
    <w:rsid w:val="0052006B"/>
    <w:rsid w:val="005202F3"/>
    <w:rsid w:val="005215FA"/>
    <w:rsid w:val="00523A94"/>
    <w:rsid w:val="00523AAE"/>
    <w:rsid w:val="00524A91"/>
    <w:rsid w:val="00527049"/>
    <w:rsid w:val="00534753"/>
    <w:rsid w:val="0054092D"/>
    <w:rsid w:val="0054143F"/>
    <w:rsid w:val="005436BD"/>
    <w:rsid w:val="00544381"/>
    <w:rsid w:val="00547DD8"/>
    <w:rsid w:val="00557F98"/>
    <w:rsid w:val="00564520"/>
    <w:rsid w:val="00564D51"/>
    <w:rsid w:val="00567D50"/>
    <w:rsid w:val="00571F26"/>
    <w:rsid w:val="0057531A"/>
    <w:rsid w:val="00575651"/>
    <w:rsid w:val="005904E3"/>
    <w:rsid w:val="00591785"/>
    <w:rsid w:val="005925CF"/>
    <w:rsid w:val="0059267C"/>
    <w:rsid w:val="0059328A"/>
    <w:rsid w:val="00593662"/>
    <w:rsid w:val="00593BB7"/>
    <w:rsid w:val="005A10AE"/>
    <w:rsid w:val="005A4350"/>
    <w:rsid w:val="005A554B"/>
    <w:rsid w:val="005B2261"/>
    <w:rsid w:val="005B234C"/>
    <w:rsid w:val="005B485D"/>
    <w:rsid w:val="005B4AEF"/>
    <w:rsid w:val="005B732D"/>
    <w:rsid w:val="005C39ED"/>
    <w:rsid w:val="005C4CC1"/>
    <w:rsid w:val="005C51E9"/>
    <w:rsid w:val="005C61A3"/>
    <w:rsid w:val="005C7F0F"/>
    <w:rsid w:val="005D1B2B"/>
    <w:rsid w:val="005D48D7"/>
    <w:rsid w:val="005D5508"/>
    <w:rsid w:val="005E41CF"/>
    <w:rsid w:val="005E4C8F"/>
    <w:rsid w:val="005E7735"/>
    <w:rsid w:val="005E7C81"/>
    <w:rsid w:val="005F238A"/>
    <w:rsid w:val="005F30D6"/>
    <w:rsid w:val="005F4CEF"/>
    <w:rsid w:val="005F647F"/>
    <w:rsid w:val="00601528"/>
    <w:rsid w:val="0060676B"/>
    <w:rsid w:val="00607E9C"/>
    <w:rsid w:val="00613F81"/>
    <w:rsid w:val="006151E3"/>
    <w:rsid w:val="006156E9"/>
    <w:rsid w:val="00616969"/>
    <w:rsid w:val="00625804"/>
    <w:rsid w:val="00625E54"/>
    <w:rsid w:val="006307EF"/>
    <w:rsid w:val="00632DF9"/>
    <w:rsid w:val="00635D7E"/>
    <w:rsid w:val="00641B32"/>
    <w:rsid w:val="00647D1D"/>
    <w:rsid w:val="00650A12"/>
    <w:rsid w:val="00656684"/>
    <w:rsid w:val="006617E0"/>
    <w:rsid w:val="00661B1D"/>
    <w:rsid w:val="00661C41"/>
    <w:rsid w:val="00664FDB"/>
    <w:rsid w:val="0066704A"/>
    <w:rsid w:val="00675693"/>
    <w:rsid w:val="0068046C"/>
    <w:rsid w:val="00682B0F"/>
    <w:rsid w:val="00685F8B"/>
    <w:rsid w:val="00686546"/>
    <w:rsid w:val="0068766E"/>
    <w:rsid w:val="00691F00"/>
    <w:rsid w:val="00691FE9"/>
    <w:rsid w:val="00693F0D"/>
    <w:rsid w:val="00694962"/>
    <w:rsid w:val="00696B04"/>
    <w:rsid w:val="00697471"/>
    <w:rsid w:val="006A0DCA"/>
    <w:rsid w:val="006A1F31"/>
    <w:rsid w:val="006B253D"/>
    <w:rsid w:val="006B2D35"/>
    <w:rsid w:val="006B30CD"/>
    <w:rsid w:val="006B4960"/>
    <w:rsid w:val="006B73B4"/>
    <w:rsid w:val="006C0EA0"/>
    <w:rsid w:val="006D023B"/>
    <w:rsid w:val="006E024A"/>
    <w:rsid w:val="006E0472"/>
    <w:rsid w:val="006E3378"/>
    <w:rsid w:val="006E7AD4"/>
    <w:rsid w:val="006E7D84"/>
    <w:rsid w:val="006E7DE6"/>
    <w:rsid w:val="006F4076"/>
    <w:rsid w:val="006F48AA"/>
    <w:rsid w:val="006F4D2E"/>
    <w:rsid w:val="006F4FBF"/>
    <w:rsid w:val="006F60DB"/>
    <w:rsid w:val="006F7245"/>
    <w:rsid w:val="00701934"/>
    <w:rsid w:val="007035EC"/>
    <w:rsid w:val="00704D57"/>
    <w:rsid w:val="00707AD9"/>
    <w:rsid w:val="007101D3"/>
    <w:rsid w:val="00710D9C"/>
    <w:rsid w:val="00712C03"/>
    <w:rsid w:val="007133A5"/>
    <w:rsid w:val="00716666"/>
    <w:rsid w:val="00716C5F"/>
    <w:rsid w:val="007210CD"/>
    <w:rsid w:val="00721134"/>
    <w:rsid w:val="00721394"/>
    <w:rsid w:val="00730CDE"/>
    <w:rsid w:val="00730FF8"/>
    <w:rsid w:val="00733E57"/>
    <w:rsid w:val="00734499"/>
    <w:rsid w:val="00736C70"/>
    <w:rsid w:val="007412A7"/>
    <w:rsid w:val="00741B2E"/>
    <w:rsid w:val="00742821"/>
    <w:rsid w:val="00742EE9"/>
    <w:rsid w:val="00743A6C"/>
    <w:rsid w:val="0074490A"/>
    <w:rsid w:val="007539AE"/>
    <w:rsid w:val="00753AED"/>
    <w:rsid w:val="00753E51"/>
    <w:rsid w:val="00754E36"/>
    <w:rsid w:val="007555F4"/>
    <w:rsid w:val="0076193C"/>
    <w:rsid w:val="0076290C"/>
    <w:rsid w:val="007649A6"/>
    <w:rsid w:val="00764DCC"/>
    <w:rsid w:val="007650D9"/>
    <w:rsid w:val="00770B74"/>
    <w:rsid w:val="0077248E"/>
    <w:rsid w:val="00772CBA"/>
    <w:rsid w:val="00776BAF"/>
    <w:rsid w:val="0077765B"/>
    <w:rsid w:val="00777CEC"/>
    <w:rsid w:val="00780704"/>
    <w:rsid w:val="00784AE8"/>
    <w:rsid w:val="00787546"/>
    <w:rsid w:val="0078AED1"/>
    <w:rsid w:val="00792DA4"/>
    <w:rsid w:val="00793A78"/>
    <w:rsid w:val="00797FED"/>
    <w:rsid w:val="007A15B9"/>
    <w:rsid w:val="007A2623"/>
    <w:rsid w:val="007A5126"/>
    <w:rsid w:val="007A7B66"/>
    <w:rsid w:val="007B2BFB"/>
    <w:rsid w:val="007B5DF3"/>
    <w:rsid w:val="007B7F09"/>
    <w:rsid w:val="007C2305"/>
    <w:rsid w:val="007C2893"/>
    <w:rsid w:val="007C39B5"/>
    <w:rsid w:val="007C3AEF"/>
    <w:rsid w:val="007C4909"/>
    <w:rsid w:val="007D4C3C"/>
    <w:rsid w:val="007E1D3E"/>
    <w:rsid w:val="007E2712"/>
    <w:rsid w:val="007E333C"/>
    <w:rsid w:val="007E42FF"/>
    <w:rsid w:val="007E4740"/>
    <w:rsid w:val="007F0B55"/>
    <w:rsid w:val="007F12B7"/>
    <w:rsid w:val="007F134D"/>
    <w:rsid w:val="007F1876"/>
    <w:rsid w:val="007F4098"/>
    <w:rsid w:val="007F68CB"/>
    <w:rsid w:val="007F7B42"/>
    <w:rsid w:val="00800E15"/>
    <w:rsid w:val="00802953"/>
    <w:rsid w:val="00806D1C"/>
    <w:rsid w:val="008076AA"/>
    <w:rsid w:val="00811A29"/>
    <w:rsid w:val="00812F1B"/>
    <w:rsid w:val="00817754"/>
    <w:rsid w:val="00820A27"/>
    <w:rsid w:val="00821D9F"/>
    <w:rsid w:val="0082431C"/>
    <w:rsid w:val="00824D59"/>
    <w:rsid w:val="008257F6"/>
    <w:rsid w:val="00825C69"/>
    <w:rsid w:val="00827729"/>
    <w:rsid w:val="00835A35"/>
    <w:rsid w:val="00835D13"/>
    <w:rsid w:val="00836680"/>
    <w:rsid w:val="0084193F"/>
    <w:rsid w:val="00842A1B"/>
    <w:rsid w:val="0084512C"/>
    <w:rsid w:val="00850AF1"/>
    <w:rsid w:val="008520D4"/>
    <w:rsid w:val="00855C4A"/>
    <w:rsid w:val="00861268"/>
    <w:rsid w:val="00861A11"/>
    <w:rsid w:val="00861CC3"/>
    <w:rsid w:val="008701EC"/>
    <w:rsid w:val="0088274D"/>
    <w:rsid w:val="00884B60"/>
    <w:rsid w:val="00884FEA"/>
    <w:rsid w:val="00895DEE"/>
    <w:rsid w:val="008A1BF3"/>
    <w:rsid w:val="008A2FD7"/>
    <w:rsid w:val="008A4766"/>
    <w:rsid w:val="008B08A4"/>
    <w:rsid w:val="008B0C76"/>
    <w:rsid w:val="008B4379"/>
    <w:rsid w:val="008B537D"/>
    <w:rsid w:val="008B6380"/>
    <w:rsid w:val="008B65AE"/>
    <w:rsid w:val="008B671D"/>
    <w:rsid w:val="008B7798"/>
    <w:rsid w:val="008C1188"/>
    <w:rsid w:val="008C48CF"/>
    <w:rsid w:val="008C50B6"/>
    <w:rsid w:val="008C7097"/>
    <w:rsid w:val="008C73B3"/>
    <w:rsid w:val="008D1D1D"/>
    <w:rsid w:val="008D5251"/>
    <w:rsid w:val="008D6202"/>
    <w:rsid w:val="008D6984"/>
    <w:rsid w:val="008E1FA3"/>
    <w:rsid w:val="008E4078"/>
    <w:rsid w:val="008E7990"/>
    <w:rsid w:val="008F3905"/>
    <w:rsid w:val="008F50F4"/>
    <w:rsid w:val="008F6E31"/>
    <w:rsid w:val="00901293"/>
    <w:rsid w:val="00901AF8"/>
    <w:rsid w:val="009030E4"/>
    <w:rsid w:val="0090416D"/>
    <w:rsid w:val="009062C1"/>
    <w:rsid w:val="00907103"/>
    <w:rsid w:val="00907C04"/>
    <w:rsid w:val="0091195A"/>
    <w:rsid w:val="00913783"/>
    <w:rsid w:val="00913928"/>
    <w:rsid w:val="009147A8"/>
    <w:rsid w:val="00914EAB"/>
    <w:rsid w:val="00923622"/>
    <w:rsid w:val="009265B5"/>
    <w:rsid w:val="0093016B"/>
    <w:rsid w:val="009309B1"/>
    <w:rsid w:val="00930A08"/>
    <w:rsid w:val="00936F75"/>
    <w:rsid w:val="0094324A"/>
    <w:rsid w:val="00943A38"/>
    <w:rsid w:val="0094572D"/>
    <w:rsid w:val="00947305"/>
    <w:rsid w:val="00947C2B"/>
    <w:rsid w:val="009504A7"/>
    <w:rsid w:val="009520D4"/>
    <w:rsid w:val="0095334B"/>
    <w:rsid w:val="00954359"/>
    <w:rsid w:val="00964DE6"/>
    <w:rsid w:val="00976E07"/>
    <w:rsid w:val="00981593"/>
    <w:rsid w:val="00984F9D"/>
    <w:rsid w:val="0099084A"/>
    <w:rsid w:val="009A068F"/>
    <w:rsid w:val="009A06D9"/>
    <w:rsid w:val="009B0806"/>
    <w:rsid w:val="009B279B"/>
    <w:rsid w:val="009B624A"/>
    <w:rsid w:val="009C1D44"/>
    <w:rsid w:val="009C6C8E"/>
    <w:rsid w:val="009C7B48"/>
    <w:rsid w:val="009D0228"/>
    <w:rsid w:val="009D6A4D"/>
    <w:rsid w:val="009E3ACE"/>
    <w:rsid w:val="009F3299"/>
    <w:rsid w:val="00A022C2"/>
    <w:rsid w:val="00A0345F"/>
    <w:rsid w:val="00A06216"/>
    <w:rsid w:val="00A109A2"/>
    <w:rsid w:val="00A13413"/>
    <w:rsid w:val="00A17062"/>
    <w:rsid w:val="00A17647"/>
    <w:rsid w:val="00A179F2"/>
    <w:rsid w:val="00A24775"/>
    <w:rsid w:val="00A264AC"/>
    <w:rsid w:val="00A35150"/>
    <w:rsid w:val="00A36242"/>
    <w:rsid w:val="00A36B1B"/>
    <w:rsid w:val="00A401EA"/>
    <w:rsid w:val="00A41D7B"/>
    <w:rsid w:val="00A426A9"/>
    <w:rsid w:val="00A4402F"/>
    <w:rsid w:val="00A46437"/>
    <w:rsid w:val="00A47951"/>
    <w:rsid w:val="00A51240"/>
    <w:rsid w:val="00A51D7E"/>
    <w:rsid w:val="00A6013D"/>
    <w:rsid w:val="00A63A89"/>
    <w:rsid w:val="00A6505E"/>
    <w:rsid w:val="00A66BE4"/>
    <w:rsid w:val="00A66BEC"/>
    <w:rsid w:val="00A71F48"/>
    <w:rsid w:val="00A73D45"/>
    <w:rsid w:val="00A75FE2"/>
    <w:rsid w:val="00A77351"/>
    <w:rsid w:val="00A8386F"/>
    <w:rsid w:val="00A838EF"/>
    <w:rsid w:val="00A85D12"/>
    <w:rsid w:val="00A86F56"/>
    <w:rsid w:val="00AA0314"/>
    <w:rsid w:val="00AA1D5B"/>
    <w:rsid w:val="00AB0C81"/>
    <w:rsid w:val="00AB2F37"/>
    <w:rsid w:val="00AB429A"/>
    <w:rsid w:val="00AC1488"/>
    <w:rsid w:val="00AC3ACF"/>
    <w:rsid w:val="00AC7B63"/>
    <w:rsid w:val="00AD12D4"/>
    <w:rsid w:val="00AD5DE9"/>
    <w:rsid w:val="00AE15B7"/>
    <w:rsid w:val="00AF0EE0"/>
    <w:rsid w:val="00AF455C"/>
    <w:rsid w:val="00B00246"/>
    <w:rsid w:val="00B034DE"/>
    <w:rsid w:val="00B0624A"/>
    <w:rsid w:val="00B11AC0"/>
    <w:rsid w:val="00B13B37"/>
    <w:rsid w:val="00B17F38"/>
    <w:rsid w:val="00B21E4A"/>
    <w:rsid w:val="00B21E4C"/>
    <w:rsid w:val="00B268AE"/>
    <w:rsid w:val="00B304F1"/>
    <w:rsid w:val="00B31A9B"/>
    <w:rsid w:val="00B31BCF"/>
    <w:rsid w:val="00B33090"/>
    <w:rsid w:val="00B34038"/>
    <w:rsid w:val="00B35751"/>
    <w:rsid w:val="00B36E12"/>
    <w:rsid w:val="00B427A3"/>
    <w:rsid w:val="00B44032"/>
    <w:rsid w:val="00B5032C"/>
    <w:rsid w:val="00B5451E"/>
    <w:rsid w:val="00B57515"/>
    <w:rsid w:val="00B578EF"/>
    <w:rsid w:val="00B61B63"/>
    <w:rsid w:val="00B6344E"/>
    <w:rsid w:val="00B63D5E"/>
    <w:rsid w:val="00B64297"/>
    <w:rsid w:val="00B64993"/>
    <w:rsid w:val="00B6544D"/>
    <w:rsid w:val="00B67C45"/>
    <w:rsid w:val="00B804BE"/>
    <w:rsid w:val="00B84666"/>
    <w:rsid w:val="00B86D45"/>
    <w:rsid w:val="00B94FF2"/>
    <w:rsid w:val="00B967E6"/>
    <w:rsid w:val="00BA255A"/>
    <w:rsid w:val="00BB1BF1"/>
    <w:rsid w:val="00BB2150"/>
    <w:rsid w:val="00BB561F"/>
    <w:rsid w:val="00BB6C7D"/>
    <w:rsid w:val="00BC088E"/>
    <w:rsid w:val="00BC24AB"/>
    <w:rsid w:val="00BD637C"/>
    <w:rsid w:val="00BD6E99"/>
    <w:rsid w:val="00BD7A62"/>
    <w:rsid w:val="00BE257B"/>
    <w:rsid w:val="00BE28CE"/>
    <w:rsid w:val="00BE5949"/>
    <w:rsid w:val="00BF72CC"/>
    <w:rsid w:val="00BF7F8D"/>
    <w:rsid w:val="00C047C8"/>
    <w:rsid w:val="00C070A3"/>
    <w:rsid w:val="00C20379"/>
    <w:rsid w:val="00C21A0A"/>
    <w:rsid w:val="00C22F89"/>
    <w:rsid w:val="00C24E16"/>
    <w:rsid w:val="00C251F2"/>
    <w:rsid w:val="00C2626C"/>
    <w:rsid w:val="00C262D7"/>
    <w:rsid w:val="00C319E4"/>
    <w:rsid w:val="00C32B32"/>
    <w:rsid w:val="00C33E6C"/>
    <w:rsid w:val="00C34452"/>
    <w:rsid w:val="00C3483C"/>
    <w:rsid w:val="00C36EFA"/>
    <w:rsid w:val="00C404D3"/>
    <w:rsid w:val="00C415DC"/>
    <w:rsid w:val="00C45B84"/>
    <w:rsid w:val="00C47E71"/>
    <w:rsid w:val="00C52E4D"/>
    <w:rsid w:val="00C52FF5"/>
    <w:rsid w:val="00C55C03"/>
    <w:rsid w:val="00C61118"/>
    <w:rsid w:val="00C67D00"/>
    <w:rsid w:val="00C800BC"/>
    <w:rsid w:val="00C90C48"/>
    <w:rsid w:val="00C929DD"/>
    <w:rsid w:val="00C96E16"/>
    <w:rsid w:val="00C9751B"/>
    <w:rsid w:val="00C975A8"/>
    <w:rsid w:val="00CA401D"/>
    <w:rsid w:val="00CA522D"/>
    <w:rsid w:val="00CA6700"/>
    <w:rsid w:val="00CB199A"/>
    <w:rsid w:val="00CB1F52"/>
    <w:rsid w:val="00CB2B3B"/>
    <w:rsid w:val="00CB2F5A"/>
    <w:rsid w:val="00CB7857"/>
    <w:rsid w:val="00CC1129"/>
    <w:rsid w:val="00CC3CB6"/>
    <w:rsid w:val="00CC4AC3"/>
    <w:rsid w:val="00CC754F"/>
    <w:rsid w:val="00CD11B5"/>
    <w:rsid w:val="00CD4D18"/>
    <w:rsid w:val="00CE0509"/>
    <w:rsid w:val="00CE063F"/>
    <w:rsid w:val="00CE2A10"/>
    <w:rsid w:val="00CE40BF"/>
    <w:rsid w:val="00CE5778"/>
    <w:rsid w:val="00CE64F6"/>
    <w:rsid w:val="00CF3706"/>
    <w:rsid w:val="00CF41CA"/>
    <w:rsid w:val="00CF760F"/>
    <w:rsid w:val="00CF78B5"/>
    <w:rsid w:val="00D038B1"/>
    <w:rsid w:val="00D16EDF"/>
    <w:rsid w:val="00D219E9"/>
    <w:rsid w:val="00D3008D"/>
    <w:rsid w:val="00D31DD6"/>
    <w:rsid w:val="00D321DF"/>
    <w:rsid w:val="00D323D9"/>
    <w:rsid w:val="00D32629"/>
    <w:rsid w:val="00D3279A"/>
    <w:rsid w:val="00D32F4B"/>
    <w:rsid w:val="00D347EA"/>
    <w:rsid w:val="00D41697"/>
    <w:rsid w:val="00D418EA"/>
    <w:rsid w:val="00D442B0"/>
    <w:rsid w:val="00D453D6"/>
    <w:rsid w:val="00D4616E"/>
    <w:rsid w:val="00D46467"/>
    <w:rsid w:val="00D469D5"/>
    <w:rsid w:val="00D47291"/>
    <w:rsid w:val="00D538AE"/>
    <w:rsid w:val="00D63538"/>
    <w:rsid w:val="00D6488C"/>
    <w:rsid w:val="00D71EC3"/>
    <w:rsid w:val="00D76287"/>
    <w:rsid w:val="00D802F6"/>
    <w:rsid w:val="00D82037"/>
    <w:rsid w:val="00D83EE9"/>
    <w:rsid w:val="00D90740"/>
    <w:rsid w:val="00D93A46"/>
    <w:rsid w:val="00D93A95"/>
    <w:rsid w:val="00D946CC"/>
    <w:rsid w:val="00DA2377"/>
    <w:rsid w:val="00DA3DE3"/>
    <w:rsid w:val="00DB4E5D"/>
    <w:rsid w:val="00DB5935"/>
    <w:rsid w:val="00DB669C"/>
    <w:rsid w:val="00DB73E2"/>
    <w:rsid w:val="00DC013D"/>
    <w:rsid w:val="00DC2569"/>
    <w:rsid w:val="00DC54F7"/>
    <w:rsid w:val="00DD049F"/>
    <w:rsid w:val="00DD2BCE"/>
    <w:rsid w:val="00DD30CB"/>
    <w:rsid w:val="00DD340E"/>
    <w:rsid w:val="00DD521F"/>
    <w:rsid w:val="00DD5862"/>
    <w:rsid w:val="00DE196C"/>
    <w:rsid w:val="00DE1B2B"/>
    <w:rsid w:val="00DE4BB0"/>
    <w:rsid w:val="00DE5CC9"/>
    <w:rsid w:val="00DF0A05"/>
    <w:rsid w:val="00DF0FDF"/>
    <w:rsid w:val="00DF5B78"/>
    <w:rsid w:val="00DF70CC"/>
    <w:rsid w:val="00E0338F"/>
    <w:rsid w:val="00E1091D"/>
    <w:rsid w:val="00E11E6F"/>
    <w:rsid w:val="00E13125"/>
    <w:rsid w:val="00E1515F"/>
    <w:rsid w:val="00E15CC0"/>
    <w:rsid w:val="00E16908"/>
    <w:rsid w:val="00E16B21"/>
    <w:rsid w:val="00E16B4B"/>
    <w:rsid w:val="00E17F1F"/>
    <w:rsid w:val="00E20339"/>
    <w:rsid w:val="00E218CD"/>
    <w:rsid w:val="00E25EA2"/>
    <w:rsid w:val="00E260F3"/>
    <w:rsid w:val="00E31E7C"/>
    <w:rsid w:val="00E32A3C"/>
    <w:rsid w:val="00E32B78"/>
    <w:rsid w:val="00E33D1D"/>
    <w:rsid w:val="00E34479"/>
    <w:rsid w:val="00E359E4"/>
    <w:rsid w:val="00E40DE9"/>
    <w:rsid w:val="00E410E0"/>
    <w:rsid w:val="00E444E7"/>
    <w:rsid w:val="00E4460A"/>
    <w:rsid w:val="00E44D94"/>
    <w:rsid w:val="00E46F93"/>
    <w:rsid w:val="00E472F2"/>
    <w:rsid w:val="00E47AEE"/>
    <w:rsid w:val="00E51A57"/>
    <w:rsid w:val="00E52F72"/>
    <w:rsid w:val="00E549B3"/>
    <w:rsid w:val="00E557BE"/>
    <w:rsid w:val="00E5598E"/>
    <w:rsid w:val="00E57DC0"/>
    <w:rsid w:val="00E61D94"/>
    <w:rsid w:val="00E6591B"/>
    <w:rsid w:val="00E66FEE"/>
    <w:rsid w:val="00E71187"/>
    <w:rsid w:val="00E71D5A"/>
    <w:rsid w:val="00E72FB6"/>
    <w:rsid w:val="00E74027"/>
    <w:rsid w:val="00E85679"/>
    <w:rsid w:val="00E907BD"/>
    <w:rsid w:val="00E9140F"/>
    <w:rsid w:val="00EA12BF"/>
    <w:rsid w:val="00EA1B75"/>
    <w:rsid w:val="00EA362B"/>
    <w:rsid w:val="00EA6876"/>
    <w:rsid w:val="00EB05D3"/>
    <w:rsid w:val="00EB075B"/>
    <w:rsid w:val="00EB15F7"/>
    <w:rsid w:val="00EB1845"/>
    <w:rsid w:val="00EB26BF"/>
    <w:rsid w:val="00EB2F03"/>
    <w:rsid w:val="00EB52DF"/>
    <w:rsid w:val="00EC0789"/>
    <w:rsid w:val="00EC2C03"/>
    <w:rsid w:val="00EC5E63"/>
    <w:rsid w:val="00EC6404"/>
    <w:rsid w:val="00EC760F"/>
    <w:rsid w:val="00ED3E61"/>
    <w:rsid w:val="00ED43BA"/>
    <w:rsid w:val="00ED58AA"/>
    <w:rsid w:val="00ED6BBA"/>
    <w:rsid w:val="00EE340E"/>
    <w:rsid w:val="00EE7A21"/>
    <w:rsid w:val="00EF19A6"/>
    <w:rsid w:val="00EF4BC2"/>
    <w:rsid w:val="00F02779"/>
    <w:rsid w:val="00F04746"/>
    <w:rsid w:val="00F05829"/>
    <w:rsid w:val="00F07501"/>
    <w:rsid w:val="00F11919"/>
    <w:rsid w:val="00F12148"/>
    <w:rsid w:val="00F2050E"/>
    <w:rsid w:val="00F20636"/>
    <w:rsid w:val="00F2169C"/>
    <w:rsid w:val="00F2410B"/>
    <w:rsid w:val="00F24220"/>
    <w:rsid w:val="00F2565F"/>
    <w:rsid w:val="00F2693C"/>
    <w:rsid w:val="00F26E9D"/>
    <w:rsid w:val="00F27FF9"/>
    <w:rsid w:val="00F34ADB"/>
    <w:rsid w:val="00F34DE0"/>
    <w:rsid w:val="00F34F2F"/>
    <w:rsid w:val="00F36E5E"/>
    <w:rsid w:val="00F43879"/>
    <w:rsid w:val="00F5145F"/>
    <w:rsid w:val="00F52F68"/>
    <w:rsid w:val="00F56D33"/>
    <w:rsid w:val="00F60CCA"/>
    <w:rsid w:val="00F622AF"/>
    <w:rsid w:val="00F62467"/>
    <w:rsid w:val="00F67871"/>
    <w:rsid w:val="00F713F8"/>
    <w:rsid w:val="00F7479B"/>
    <w:rsid w:val="00F7576E"/>
    <w:rsid w:val="00F764FB"/>
    <w:rsid w:val="00F77E85"/>
    <w:rsid w:val="00F8064E"/>
    <w:rsid w:val="00F8179B"/>
    <w:rsid w:val="00F91792"/>
    <w:rsid w:val="00F94400"/>
    <w:rsid w:val="00F94AF8"/>
    <w:rsid w:val="00F96646"/>
    <w:rsid w:val="00FA51E3"/>
    <w:rsid w:val="00FA60CB"/>
    <w:rsid w:val="00FA726A"/>
    <w:rsid w:val="00FA729D"/>
    <w:rsid w:val="00FB381B"/>
    <w:rsid w:val="00FB3F53"/>
    <w:rsid w:val="00FB7D25"/>
    <w:rsid w:val="00FC462B"/>
    <w:rsid w:val="00FC6D78"/>
    <w:rsid w:val="00FD2DCA"/>
    <w:rsid w:val="00FD509C"/>
    <w:rsid w:val="00FE085A"/>
    <w:rsid w:val="00FE0D6D"/>
    <w:rsid w:val="00FE2545"/>
    <w:rsid w:val="00FE28DF"/>
    <w:rsid w:val="00FF0024"/>
    <w:rsid w:val="00FF22A5"/>
    <w:rsid w:val="00FF2723"/>
    <w:rsid w:val="00FF35C9"/>
    <w:rsid w:val="00FF44E0"/>
    <w:rsid w:val="00FF6323"/>
    <w:rsid w:val="00FF7C8B"/>
    <w:rsid w:val="01D54E44"/>
    <w:rsid w:val="02222A2F"/>
    <w:rsid w:val="0296248D"/>
    <w:rsid w:val="02FB7B3F"/>
    <w:rsid w:val="02FCB018"/>
    <w:rsid w:val="035F2202"/>
    <w:rsid w:val="03E18FE3"/>
    <w:rsid w:val="04309089"/>
    <w:rsid w:val="045DD30C"/>
    <w:rsid w:val="049803AA"/>
    <w:rsid w:val="049DDF2D"/>
    <w:rsid w:val="04B791A7"/>
    <w:rsid w:val="0500E2FE"/>
    <w:rsid w:val="052AE4A0"/>
    <w:rsid w:val="05F9A8D9"/>
    <w:rsid w:val="0654054D"/>
    <w:rsid w:val="0754896C"/>
    <w:rsid w:val="07C1963E"/>
    <w:rsid w:val="07DE1CDB"/>
    <w:rsid w:val="09E6A6DF"/>
    <w:rsid w:val="0B288EBB"/>
    <w:rsid w:val="0B438D02"/>
    <w:rsid w:val="0B77B5B7"/>
    <w:rsid w:val="0B8D4C81"/>
    <w:rsid w:val="0C67A1EB"/>
    <w:rsid w:val="0D402005"/>
    <w:rsid w:val="0D5891A2"/>
    <w:rsid w:val="0D648F38"/>
    <w:rsid w:val="0DC48E14"/>
    <w:rsid w:val="0DE1B07C"/>
    <w:rsid w:val="0E6F73D0"/>
    <w:rsid w:val="0E9082E1"/>
    <w:rsid w:val="0F4E40F9"/>
    <w:rsid w:val="0FBBE25E"/>
    <w:rsid w:val="100567A3"/>
    <w:rsid w:val="1022069F"/>
    <w:rsid w:val="109169B8"/>
    <w:rsid w:val="10C1B94A"/>
    <w:rsid w:val="10D37CE4"/>
    <w:rsid w:val="118A5DEF"/>
    <w:rsid w:val="11914F42"/>
    <w:rsid w:val="11A5E745"/>
    <w:rsid w:val="12962231"/>
    <w:rsid w:val="135DCAE9"/>
    <w:rsid w:val="15C978FF"/>
    <w:rsid w:val="16865FB1"/>
    <w:rsid w:val="17CE00A7"/>
    <w:rsid w:val="1821C0A0"/>
    <w:rsid w:val="18F3F11B"/>
    <w:rsid w:val="19613D59"/>
    <w:rsid w:val="1969088B"/>
    <w:rsid w:val="1A5A9206"/>
    <w:rsid w:val="1AF9E881"/>
    <w:rsid w:val="1B21E28F"/>
    <w:rsid w:val="1B712A4C"/>
    <w:rsid w:val="1CE791CB"/>
    <w:rsid w:val="1DB5FFC6"/>
    <w:rsid w:val="1DCA4AC8"/>
    <w:rsid w:val="1F5BCE61"/>
    <w:rsid w:val="1FC7B309"/>
    <w:rsid w:val="20192C8B"/>
    <w:rsid w:val="20485413"/>
    <w:rsid w:val="206A939D"/>
    <w:rsid w:val="214412FD"/>
    <w:rsid w:val="21484BA3"/>
    <w:rsid w:val="21497145"/>
    <w:rsid w:val="2316BF29"/>
    <w:rsid w:val="23CA7A39"/>
    <w:rsid w:val="257169B3"/>
    <w:rsid w:val="25AF6395"/>
    <w:rsid w:val="268EF4E6"/>
    <w:rsid w:val="26C6846E"/>
    <w:rsid w:val="271A860A"/>
    <w:rsid w:val="27561A5D"/>
    <w:rsid w:val="29469B38"/>
    <w:rsid w:val="298584A8"/>
    <w:rsid w:val="2A3143EA"/>
    <w:rsid w:val="2AEDC384"/>
    <w:rsid w:val="2BEF4752"/>
    <w:rsid w:val="2C4E7373"/>
    <w:rsid w:val="2C5D85AB"/>
    <w:rsid w:val="2C874559"/>
    <w:rsid w:val="2CAACDC6"/>
    <w:rsid w:val="2CD8F38B"/>
    <w:rsid w:val="2D5F5861"/>
    <w:rsid w:val="2E6A0689"/>
    <w:rsid w:val="2EAD7FC1"/>
    <w:rsid w:val="2EE5E3AD"/>
    <w:rsid w:val="2F5B4634"/>
    <w:rsid w:val="30E8AE89"/>
    <w:rsid w:val="31319676"/>
    <w:rsid w:val="34333A93"/>
    <w:rsid w:val="34C281EC"/>
    <w:rsid w:val="359D7299"/>
    <w:rsid w:val="35B59B2B"/>
    <w:rsid w:val="36EC6FB7"/>
    <w:rsid w:val="37DE7226"/>
    <w:rsid w:val="385D6163"/>
    <w:rsid w:val="38B4858D"/>
    <w:rsid w:val="38DBA929"/>
    <w:rsid w:val="38F9C7CB"/>
    <w:rsid w:val="392C20DD"/>
    <w:rsid w:val="3B44C6A5"/>
    <w:rsid w:val="3B56E2E7"/>
    <w:rsid w:val="3BCE9E3A"/>
    <w:rsid w:val="3BFD95FA"/>
    <w:rsid w:val="3C8A7B96"/>
    <w:rsid w:val="3C93F245"/>
    <w:rsid w:val="3CF9BE03"/>
    <w:rsid w:val="3D278AD3"/>
    <w:rsid w:val="3EC34FD4"/>
    <w:rsid w:val="3FA06708"/>
    <w:rsid w:val="3FE6D8E4"/>
    <w:rsid w:val="402783D7"/>
    <w:rsid w:val="404EB407"/>
    <w:rsid w:val="405FA811"/>
    <w:rsid w:val="407A121C"/>
    <w:rsid w:val="409F199A"/>
    <w:rsid w:val="41762F51"/>
    <w:rsid w:val="41F160C4"/>
    <w:rsid w:val="422DBBF2"/>
    <w:rsid w:val="42ED4217"/>
    <w:rsid w:val="43E63D72"/>
    <w:rsid w:val="44696356"/>
    <w:rsid w:val="44CFFDCB"/>
    <w:rsid w:val="452B8984"/>
    <w:rsid w:val="471C4703"/>
    <w:rsid w:val="4722C96A"/>
    <w:rsid w:val="47A0AED4"/>
    <w:rsid w:val="48681505"/>
    <w:rsid w:val="489D7249"/>
    <w:rsid w:val="48AE5259"/>
    <w:rsid w:val="48E3CAB3"/>
    <w:rsid w:val="48EDA0A6"/>
    <w:rsid w:val="4A3FE5C9"/>
    <w:rsid w:val="4A4DC3A1"/>
    <w:rsid w:val="4A8174A3"/>
    <w:rsid w:val="4B67C9DC"/>
    <w:rsid w:val="4CA85EFB"/>
    <w:rsid w:val="4E2F1BF7"/>
    <w:rsid w:val="4E36ED6D"/>
    <w:rsid w:val="4EA83962"/>
    <w:rsid w:val="4EB1560C"/>
    <w:rsid w:val="4F3965F3"/>
    <w:rsid w:val="4F94AC77"/>
    <w:rsid w:val="5026582D"/>
    <w:rsid w:val="5031CA88"/>
    <w:rsid w:val="50BB8733"/>
    <w:rsid w:val="50F60B03"/>
    <w:rsid w:val="51AC341C"/>
    <w:rsid w:val="52639443"/>
    <w:rsid w:val="52698BE7"/>
    <w:rsid w:val="550DD13B"/>
    <w:rsid w:val="556AD68B"/>
    <w:rsid w:val="5626D462"/>
    <w:rsid w:val="5654B81B"/>
    <w:rsid w:val="56E2FEC4"/>
    <w:rsid w:val="5797A88C"/>
    <w:rsid w:val="57A93307"/>
    <w:rsid w:val="57C67CA3"/>
    <w:rsid w:val="584B74BD"/>
    <w:rsid w:val="59723CE9"/>
    <w:rsid w:val="5B01317D"/>
    <w:rsid w:val="5B631811"/>
    <w:rsid w:val="5CB96424"/>
    <w:rsid w:val="5D56380A"/>
    <w:rsid w:val="5D610DA9"/>
    <w:rsid w:val="5FA8AC71"/>
    <w:rsid w:val="5FC76B04"/>
    <w:rsid w:val="60A0DBFA"/>
    <w:rsid w:val="6135BA4A"/>
    <w:rsid w:val="616A7378"/>
    <w:rsid w:val="6198C88A"/>
    <w:rsid w:val="6273D886"/>
    <w:rsid w:val="62D2436E"/>
    <w:rsid w:val="63883E94"/>
    <w:rsid w:val="63AE904F"/>
    <w:rsid w:val="646F9A0A"/>
    <w:rsid w:val="648DB51D"/>
    <w:rsid w:val="649F4B17"/>
    <w:rsid w:val="64B911CD"/>
    <w:rsid w:val="64D9205D"/>
    <w:rsid w:val="64F12287"/>
    <w:rsid w:val="6533CCF9"/>
    <w:rsid w:val="661412AF"/>
    <w:rsid w:val="6633FB01"/>
    <w:rsid w:val="668923D8"/>
    <w:rsid w:val="66C0A6FB"/>
    <w:rsid w:val="671633D9"/>
    <w:rsid w:val="6744EE48"/>
    <w:rsid w:val="6915BE56"/>
    <w:rsid w:val="69D4751E"/>
    <w:rsid w:val="6A2E1412"/>
    <w:rsid w:val="6C41058C"/>
    <w:rsid w:val="6CA47101"/>
    <w:rsid w:val="6CC1E5CE"/>
    <w:rsid w:val="6D291369"/>
    <w:rsid w:val="6D9E945E"/>
    <w:rsid w:val="6DFEEABE"/>
    <w:rsid w:val="6E8D2171"/>
    <w:rsid w:val="710224DB"/>
    <w:rsid w:val="725338EB"/>
    <w:rsid w:val="7265E874"/>
    <w:rsid w:val="728835B6"/>
    <w:rsid w:val="72B03C90"/>
    <w:rsid w:val="73998EC3"/>
    <w:rsid w:val="747DD08A"/>
    <w:rsid w:val="74875BA0"/>
    <w:rsid w:val="7518B7F9"/>
    <w:rsid w:val="751A5F5F"/>
    <w:rsid w:val="768087CF"/>
    <w:rsid w:val="76A58266"/>
    <w:rsid w:val="76D21C7C"/>
    <w:rsid w:val="775E2D7B"/>
    <w:rsid w:val="77C4B83F"/>
    <w:rsid w:val="791D9722"/>
    <w:rsid w:val="793841DB"/>
    <w:rsid w:val="799F295B"/>
    <w:rsid w:val="7A31301D"/>
    <w:rsid w:val="7A716D01"/>
    <w:rsid w:val="7C3AD12F"/>
    <w:rsid w:val="7C7AF2AC"/>
    <w:rsid w:val="7D3757B3"/>
    <w:rsid w:val="7E618D29"/>
    <w:rsid w:val="7EDE99A3"/>
    <w:rsid w:val="7F2CB1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A79D9D"/>
  <w15:docId w15:val="{FD2E31DC-D05D-40E0-A25B-168917B6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4"/>
      <w:szCs w:val="24"/>
      <w:lang w:eastAsia="en-US"/>
    </w:rPr>
  </w:style>
  <w:style w:type="paragraph" w:styleId="Heading1">
    <w:name w:val="heading 1"/>
    <w:basedOn w:val="Normal"/>
    <w:next w:val="Normal"/>
    <w:qFormat/>
    <w:pPr>
      <w:tabs>
        <w:tab w:val="left" w:pos="1080"/>
      </w:tabs>
      <w:spacing w:before="240"/>
      <w:outlineLvl w:val="0"/>
    </w:pPr>
    <w:rPr>
      <w:rFonts w:cs="Arial"/>
      <w:b/>
      <w:bCs/>
      <w:caps/>
      <w:vanish/>
      <w:color w:val="008000"/>
      <w:kern w:val="24"/>
      <w:szCs w:val="32"/>
    </w:rPr>
  </w:style>
  <w:style w:type="paragraph" w:styleId="Heading2">
    <w:name w:val="heading 2"/>
    <w:basedOn w:val="Normal"/>
    <w:next w:val="Normal"/>
    <w:qFormat/>
    <w:pPr>
      <w:outlineLvl w:val="1"/>
    </w:pPr>
    <w:rPr>
      <w:rFonts w:cs="Arial"/>
      <w:caps/>
      <w:vanish/>
      <w:color w:val="008000"/>
      <w:szCs w:val="28"/>
      <w:u w:val="single"/>
    </w:rPr>
  </w:style>
  <w:style w:type="paragraph" w:styleId="Heading3">
    <w:name w:val="heading 3"/>
    <w:basedOn w:val="Normal"/>
    <w:next w:val="Normal"/>
    <w:qFormat/>
    <w:pPr>
      <w:outlineLvl w:val="2"/>
    </w:pPr>
    <w:rPr>
      <w:rFonts w:cs="Arial"/>
      <w:bCs/>
      <w:iCs/>
      <w:vanish/>
      <w:color w:val="008000"/>
      <w:szCs w:val="26"/>
    </w:rPr>
  </w:style>
  <w:style w:type="paragraph" w:styleId="Heading4">
    <w:name w:val="heading 4"/>
    <w:basedOn w:val="Normal"/>
    <w:next w:val="Normal"/>
    <w:qFormat/>
    <w:pPr>
      <w:keepNext/>
      <w:keepLines/>
      <w:spacing w:before="480"/>
      <w:outlineLvl w:val="3"/>
    </w:pPr>
    <w:rPr>
      <w:b/>
      <w:bCs/>
      <w:caps/>
      <w:sz w:val="28"/>
      <w:szCs w:val="28"/>
    </w:rPr>
  </w:style>
  <w:style w:type="paragraph" w:styleId="Heading5">
    <w:name w:val="heading 5"/>
    <w:basedOn w:val="Normal"/>
    <w:next w:val="Normal"/>
    <w:qFormat/>
    <w:pPr>
      <w:keepNext/>
      <w:keepLines/>
      <w:outlineLvl w:val="4"/>
    </w:pPr>
    <w:rPr>
      <w:b/>
      <w:bCs/>
      <w:iCs/>
      <w:caps/>
      <w:szCs w:val="26"/>
    </w:rPr>
  </w:style>
  <w:style w:type="paragraph" w:styleId="Heading6">
    <w:name w:val="heading 6"/>
    <w:basedOn w:val="Normal"/>
    <w:next w:val="Normal"/>
    <w:qFormat/>
    <w:pPr>
      <w:keepNext/>
      <w:keepLines/>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dent">
    <w:name w:val="BulletsIndent"/>
    <w:aliases w:val="BI"/>
    <w:basedOn w:val="Normal"/>
    <w:pPr>
      <w:numPr>
        <w:numId w:val="2"/>
      </w:numPr>
    </w:pPr>
  </w:style>
  <w:style w:type="paragraph" w:customStyle="1" w:styleId="BulletsIndentSquare">
    <w:name w:val="BulletsIndentSquare"/>
    <w:aliases w:val="BIS"/>
    <w:basedOn w:val="BulletsIndent"/>
    <w:pPr>
      <w:numPr>
        <w:numId w:val="3"/>
      </w:numPr>
    </w:pPr>
  </w:style>
  <w:style w:type="paragraph" w:customStyle="1" w:styleId="BulletsLine">
    <w:name w:val="BulletsLine"/>
    <w:aliases w:val="BL"/>
    <w:basedOn w:val="Normal"/>
    <w:pPr>
      <w:numPr>
        <w:numId w:val="4"/>
      </w:numPr>
      <w:spacing w:after="120"/>
    </w:pPr>
  </w:style>
  <w:style w:type="paragraph" w:customStyle="1" w:styleId="BulletsParagraph">
    <w:name w:val="BulletsParagraph"/>
    <w:aliases w:val="BP"/>
    <w:basedOn w:val="Normal"/>
    <w:pPr>
      <w:numPr>
        <w:numId w:val="5"/>
      </w:numPr>
    </w:pPr>
  </w:style>
  <w:style w:type="paragraph" w:customStyle="1" w:styleId="GOPlain">
    <w:name w:val="GOPlain"/>
    <w:aliases w:val="P"/>
    <w:basedOn w:val="Normal"/>
    <w:pPr>
      <w:spacing w:after="0"/>
    </w:pPr>
    <w:rPr>
      <w:szCs w:val="20"/>
    </w:rPr>
  </w:style>
  <w:style w:type="paragraph" w:customStyle="1" w:styleId="DocsID">
    <w:name w:val="DocsID"/>
    <w:basedOn w:val="Normal"/>
    <w:pPr>
      <w:spacing w:after="0"/>
    </w:pPr>
    <w:rPr>
      <w:rFonts w:ascii="Times New Roman" w:hAnsi="Times New Roman"/>
      <w:sz w:val="16"/>
      <w:szCs w:val="20"/>
    </w:rPr>
  </w:style>
  <w:style w:type="paragraph" w:styleId="Footer">
    <w:name w:val="footer"/>
    <w:basedOn w:val="Normal"/>
    <w:link w:val="FooterChar"/>
    <w:uiPriority w:val="29"/>
    <w:pPr>
      <w:spacing w:after="0"/>
    </w:pPr>
  </w:style>
  <w:style w:type="paragraph" w:customStyle="1" w:styleId="GOBulletlist2">
    <w:name w:val="GOBullet list2"/>
    <w:aliases w:val="BL2"/>
    <w:basedOn w:val="Normal"/>
    <w:pPr>
      <w:numPr>
        <w:numId w:val="6"/>
      </w:numPr>
      <w:spacing w:after="120"/>
    </w:pPr>
    <w:rPr>
      <w:rFonts w:ascii="Times New Roman" w:hAnsi="Times New Roman"/>
    </w:rPr>
  </w:style>
  <w:style w:type="paragraph" w:customStyle="1" w:styleId="FooterEven">
    <w:name w:val="Footer Even"/>
    <w:basedOn w:val="Footer"/>
  </w:style>
  <w:style w:type="paragraph" w:customStyle="1" w:styleId="FooterOdd">
    <w:name w:val="Footer Odd"/>
    <w:basedOn w:val="Footer"/>
    <w:pPr>
      <w:jc w:val="right"/>
    </w:pPr>
  </w:style>
  <w:style w:type="paragraph" w:customStyle="1" w:styleId="GOBlock">
    <w:name w:val="GOBlock"/>
    <w:aliases w:val="B"/>
    <w:basedOn w:val="Normal"/>
    <w:pPr>
      <w:ind w:left="720" w:right="720"/>
    </w:pPr>
    <w:rPr>
      <w:szCs w:val="20"/>
    </w:rPr>
  </w:style>
  <w:style w:type="paragraph" w:customStyle="1" w:styleId="GOBlock1">
    <w:name w:val="GOBlock1"/>
    <w:aliases w:val="B1"/>
    <w:basedOn w:val="Normal"/>
    <w:pPr>
      <w:ind w:left="1440" w:right="1440"/>
    </w:pPr>
    <w:rPr>
      <w:szCs w:val="20"/>
    </w:rPr>
  </w:style>
  <w:style w:type="paragraph" w:customStyle="1" w:styleId="GOBulletlist1">
    <w:name w:val="GOBullet list1"/>
    <w:aliases w:val="BL1"/>
    <w:basedOn w:val="Normal"/>
    <w:pPr>
      <w:numPr>
        <w:numId w:val="7"/>
      </w:numPr>
      <w:spacing w:after="120"/>
    </w:pPr>
    <w:rPr>
      <w:rFonts w:ascii="Times New Roman" w:hAnsi="Times New Roman"/>
      <w:szCs w:val="20"/>
    </w:rPr>
  </w:style>
  <w:style w:type="paragraph" w:customStyle="1" w:styleId="GOCentre">
    <w:name w:val="GOCentre"/>
    <w:aliases w:val="C"/>
    <w:basedOn w:val="Normal"/>
    <w:pPr>
      <w:jc w:val="center"/>
    </w:pPr>
    <w:rPr>
      <w:szCs w:val="20"/>
    </w:rPr>
  </w:style>
  <w:style w:type="paragraph" w:customStyle="1" w:styleId="GOHanging">
    <w:name w:val="GOHanging"/>
    <w:aliases w:val="H"/>
    <w:basedOn w:val="Normal"/>
    <w:pPr>
      <w:ind w:left="720" w:hanging="720"/>
    </w:pPr>
    <w:rPr>
      <w:szCs w:val="20"/>
    </w:rPr>
  </w:style>
  <w:style w:type="paragraph" w:customStyle="1" w:styleId="GOIndent1">
    <w:name w:val="GOIndent1"/>
    <w:aliases w:val="I1"/>
    <w:basedOn w:val="Normal"/>
    <w:pPr>
      <w:ind w:left="720"/>
    </w:pPr>
    <w:rPr>
      <w:szCs w:val="20"/>
    </w:rPr>
  </w:style>
  <w:style w:type="paragraph" w:customStyle="1" w:styleId="GOIndent2">
    <w:name w:val="GOIndent2"/>
    <w:aliases w:val="I2"/>
    <w:basedOn w:val="Normal"/>
    <w:pPr>
      <w:ind w:left="1440"/>
    </w:pPr>
    <w:rPr>
      <w:szCs w:val="20"/>
    </w:rPr>
  </w:style>
  <w:style w:type="paragraph" w:customStyle="1" w:styleId="GOIndent3">
    <w:name w:val="GOIndent3"/>
    <w:aliases w:val="I3"/>
    <w:basedOn w:val="Normal"/>
    <w:pPr>
      <w:ind w:left="2160"/>
    </w:pPr>
    <w:rPr>
      <w:szCs w:val="20"/>
    </w:rPr>
  </w:style>
  <w:style w:type="paragraph" w:customStyle="1" w:styleId="GOIndent4">
    <w:name w:val="GOIndent4"/>
    <w:aliases w:val="I4"/>
    <w:basedOn w:val="Normal"/>
    <w:pPr>
      <w:ind w:left="2880"/>
    </w:pPr>
    <w:rPr>
      <w:szCs w:val="20"/>
    </w:rPr>
  </w:style>
  <w:style w:type="paragraph" w:customStyle="1" w:styleId="GOIndent5">
    <w:name w:val="GOIndent5"/>
    <w:aliases w:val="I5"/>
    <w:basedOn w:val="Normal"/>
    <w:pPr>
      <w:ind w:left="3600"/>
    </w:pPr>
    <w:rPr>
      <w:szCs w:val="20"/>
    </w:rPr>
  </w:style>
  <w:style w:type="paragraph" w:customStyle="1" w:styleId="GOLeft">
    <w:name w:val="GOLeft"/>
    <w:aliases w:val="L"/>
    <w:basedOn w:val="Normal"/>
    <w:rPr>
      <w:szCs w:val="20"/>
    </w:rPr>
  </w:style>
  <w:style w:type="paragraph" w:customStyle="1" w:styleId="GOMainHeading">
    <w:name w:val="GOMainHeading"/>
    <w:aliases w:val="MH"/>
    <w:basedOn w:val="Normal"/>
    <w:next w:val="Normal"/>
    <w:pPr>
      <w:keepNext/>
      <w:keepLines/>
      <w:spacing w:before="120" w:after="120"/>
      <w:outlineLvl w:val="0"/>
    </w:pPr>
    <w:rPr>
      <w:b/>
      <w:caps/>
      <w:szCs w:val="20"/>
      <w:u w:val="single"/>
    </w:rPr>
  </w:style>
  <w:style w:type="paragraph" w:customStyle="1" w:styleId="GOReference">
    <w:name w:val="GOReference"/>
    <w:aliases w:val="Ref"/>
    <w:basedOn w:val="Normal"/>
    <w:rPr>
      <w:b/>
    </w:rPr>
  </w:style>
  <w:style w:type="paragraph" w:customStyle="1" w:styleId="GORight">
    <w:name w:val="GORight"/>
    <w:aliases w:val="R"/>
    <w:basedOn w:val="Normal"/>
    <w:pPr>
      <w:jc w:val="right"/>
    </w:pPr>
    <w:rPr>
      <w:szCs w:val="20"/>
    </w:rPr>
  </w:style>
  <w:style w:type="paragraph" w:customStyle="1" w:styleId="GOSubHeading">
    <w:name w:val="GOSubHeading"/>
    <w:aliases w:val="SH"/>
    <w:basedOn w:val="Normal"/>
    <w:next w:val="Normal"/>
    <w:pPr>
      <w:keepNext/>
      <w:keepLines/>
      <w:spacing w:before="120" w:after="120"/>
      <w:outlineLvl w:val="1"/>
    </w:pPr>
    <w:rPr>
      <w:b/>
      <w:szCs w:val="20"/>
    </w:rPr>
  </w:style>
  <w:style w:type="paragraph" w:customStyle="1" w:styleId="GOSubHeadingNoToc">
    <w:name w:val="GOSubHeadingNoToc"/>
    <w:aliases w:val="SHNT"/>
    <w:basedOn w:val="GOSubHeading"/>
    <w:next w:val="Normal"/>
    <w:pPr>
      <w:outlineLvl w:val="9"/>
    </w:pPr>
  </w:style>
  <w:style w:type="paragraph" w:customStyle="1" w:styleId="GOTab">
    <w:name w:val="GOTab"/>
    <w:aliases w:val="T"/>
    <w:basedOn w:val="Normal"/>
    <w:pPr>
      <w:ind w:firstLine="720"/>
    </w:pPr>
    <w:rPr>
      <w:szCs w:val="20"/>
    </w:rPr>
  </w:style>
  <w:style w:type="paragraph" w:customStyle="1" w:styleId="GOTableHeading">
    <w:name w:val="GOTableHeading"/>
    <w:aliases w:val="TH"/>
    <w:basedOn w:val="Normal"/>
    <w:pPr>
      <w:keepNext/>
      <w:keepLines/>
      <w:spacing w:before="120" w:after="120"/>
      <w:jc w:val="center"/>
    </w:pPr>
    <w:rPr>
      <w:b/>
    </w:rPr>
  </w:style>
  <w:style w:type="paragraph" w:customStyle="1" w:styleId="GOTableText">
    <w:name w:val="GOTableText"/>
    <w:aliases w:val="TT"/>
    <w:basedOn w:val="Normal"/>
    <w:pPr>
      <w:spacing w:before="60" w:after="60"/>
    </w:pPr>
  </w:style>
  <w:style w:type="paragraph" w:styleId="Header">
    <w:name w:val="header"/>
    <w:basedOn w:val="Normal"/>
    <w:pPr>
      <w:spacing w:after="0"/>
    </w:pPr>
  </w:style>
  <w:style w:type="paragraph" w:customStyle="1" w:styleId="HeaderLabel">
    <w:name w:val="HeaderLabel"/>
    <w:pPr>
      <w:spacing w:after="80"/>
    </w:pPr>
    <w:rPr>
      <w:rFonts w:ascii="Arial" w:hAnsi="Arial"/>
      <w:sz w:val="16"/>
      <w:lang w:eastAsia="en-US"/>
    </w:rPr>
  </w:style>
  <w:style w:type="paragraph" w:customStyle="1" w:styleId="HeaderPageNum">
    <w:name w:val="HeaderPageNum"/>
    <w:basedOn w:val="HeaderText"/>
    <w:pPr>
      <w:jc w:val="right"/>
    </w:pPr>
  </w:style>
  <w:style w:type="paragraph" w:customStyle="1" w:styleId="HeaderPolicyno">
    <w:name w:val="HeaderPolicy no."/>
    <w:basedOn w:val="HeaderText"/>
    <w:pPr>
      <w:spacing w:after="0"/>
      <w:jc w:val="right"/>
    </w:pPr>
  </w:style>
  <w:style w:type="paragraph" w:customStyle="1" w:styleId="HeaderSection">
    <w:name w:val="HeaderSection"/>
    <w:basedOn w:val="HeaderText"/>
    <w:rPr>
      <w:kern w:val="24"/>
    </w:rPr>
  </w:style>
  <w:style w:type="paragraph" w:customStyle="1" w:styleId="HeaderText">
    <w:name w:val="HeaderText"/>
    <w:pPr>
      <w:spacing w:after="80"/>
    </w:pPr>
    <w:rPr>
      <w:rFonts w:ascii="Arial" w:hAnsi="Arial"/>
      <w:sz w:val="24"/>
      <w:lang w:eastAsia="en-US"/>
    </w:rPr>
  </w:style>
  <w:style w:type="paragraph" w:customStyle="1" w:styleId="HeaderTitleEven">
    <w:name w:val="HeaderTitle Even"/>
    <w:basedOn w:val="Normal"/>
    <w:pPr>
      <w:spacing w:after="0"/>
      <w:ind w:left="1296"/>
      <w:jc w:val="center"/>
    </w:pPr>
    <w:rPr>
      <w:b/>
      <w:caps/>
      <w:kern w:val="24"/>
      <w:szCs w:val="20"/>
    </w:rPr>
  </w:style>
  <w:style w:type="paragraph" w:customStyle="1" w:styleId="HeaderTitleOdd">
    <w:name w:val="HeaderTitle Odd"/>
    <w:basedOn w:val="Normal"/>
    <w:pPr>
      <w:spacing w:after="0"/>
      <w:jc w:val="center"/>
    </w:pPr>
    <w:rPr>
      <w:b/>
      <w:caps/>
      <w:kern w:val="24"/>
      <w:szCs w:val="20"/>
    </w:rPr>
  </w:style>
  <w:style w:type="paragraph" w:customStyle="1" w:styleId="ManualNumL1">
    <w:name w:val="Manual Num L1"/>
    <w:aliases w:val="L1"/>
    <w:basedOn w:val="Normal"/>
    <w:pPr>
      <w:numPr>
        <w:numId w:val="9"/>
      </w:numPr>
    </w:pPr>
  </w:style>
  <w:style w:type="paragraph" w:customStyle="1" w:styleId="ManualNumL2">
    <w:name w:val="Manual Num L2"/>
    <w:aliases w:val="L2"/>
    <w:basedOn w:val="Normal"/>
    <w:pPr>
      <w:numPr>
        <w:ilvl w:val="1"/>
        <w:numId w:val="9"/>
      </w:numPr>
    </w:pPr>
  </w:style>
  <w:style w:type="paragraph" w:customStyle="1" w:styleId="ManualNumL3">
    <w:name w:val="Manual Num L3"/>
    <w:aliases w:val="L3"/>
    <w:basedOn w:val="Normal"/>
    <w:pPr>
      <w:numPr>
        <w:ilvl w:val="2"/>
        <w:numId w:val="9"/>
      </w:numPr>
    </w:pPr>
  </w:style>
  <w:style w:type="paragraph" w:customStyle="1" w:styleId="ManualNumL4">
    <w:name w:val="Manual Num L4"/>
    <w:aliases w:val="L4"/>
    <w:basedOn w:val="Normal"/>
    <w:pPr>
      <w:numPr>
        <w:ilvl w:val="3"/>
        <w:numId w:val="9"/>
      </w:numPr>
    </w:pPr>
  </w:style>
  <w:style w:type="paragraph" w:customStyle="1" w:styleId="ManualNumL5">
    <w:name w:val="Manual Num L5"/>
    <w:aliases w:val="L5"/>
    <w:basedOn w:val="Normal"/>
    <w:pPr>
      <w:numPr>
        <w:ilvl w:val="4"/>
        <w:numId w:val="9"/>
      </w:numPr>
    </w:pPr>
  </w:style>
  <w:style w:type="paragraph" w:customStyle="1" w:styleId="Note">
    <w:name w:val="Note"/>
    <w:basedOn w:val="Normal"/>
    <w:pPr>
      <w:ind w:left="1080" w:hanging="1080"/>
    </w:pPr>
    <w:rPr>
      <w:bCs/>
    </w:rPr>
  </w:style>
  <w:style w:type="character" w:styleId="PageNumber">
    <w:name w:val="page number"/>
    <w:basedOn w:val="DefaultParagraphFont"/>
  </w:style>
  <w:style w:type="paragraph" w:customStyle="1" w:styleId="Plain">
    <w:name w:val="Plain"/>
    <w:basedOn w:val="Normal"/>
    <w:pPr>
      <w:spacing w:after="0"/>
    </w:pPr>
  </w:style>
  <w:style w:type="character" w:customStyle="1" w:styleId="Prompt">
    <w:name w:val="Prompt"/>
    <w:basedOn w:val="DefaultParagraphFont"/>
    <w:rPr>
      <w:color w:val="0000FF"/>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BalloonText">
    <w:name w:val="Balloon Text"/>
    <w:basedOn w:val="Normal"/>
    <w:link w:val="BalloonTextChar"/>
    <w:rsid w:val="00CC3CB6"/>
    <w:pPr>
      <w:spacing w:after="0"/>
    </w:pPr>
    <w:rPr>
      <w:rFonts w:ascii="Tahoma" w:hAnsi="Tahoma" w:cs="Tahoma"/>
      <w:sz w:val="16"/>
      <w:szCs w:val="16"/>
    </w:rPr>
  </w:style>
  <w:style w:type="character" w:customStyle="1" w:styleId="BalloonTextChar">
    <w:name w:val="Balloon Text Char"/>
    <w:basedOn w:val="DefaultParagraphFont"/>
    <w:link w:val="BalloonText"/>
    <w:rsid w:val="00CC3CB6"/>
    <w:rPr>
      <w:rFonts w:ascii="Tahoma" w:hAnsi="Tahoma" w:cs="Tahoma"/>
      <w:sz w:val="16"/>
      <w:szCs w:val="16"/>
      <w:lang w:eastAsia="en-US"/>
    </w:rPr>
  </w:style>
  <w:style w:type="table" w:styleId="TableGrid">
    <w:name w:val="Table Grid"/>
    <w:basedOn w:val="TableNormal"/>
    <w:rsid w:val="0084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Section">
    <w:name w:val="Policy Section"/>
    <w:basedOn w:val="Header"/>
    <w:qFormat/>
    <w:rsid w:val="0077765B"/>
    <w:pPr>
      <w:tabs>
        <w:tab w:val="center" w:pos="4680"/>
        <w:tab w:val="right" w:pos="9360"/>
      </w:tabs>
    </w:pPr>
    <w:rPr>
      <w:rFonts w:cs="Arial"/>
      <w:sz w:val="20"/>
    </w:rPr>
  </w:style>
  <w:style w:type="paragraph" w:customStyle="1" w:styleId="PolicySubject">
    <w:name w:val="Policy Subject"/>
    <w:basedOn w:val="Header"/>
    <w:qFormat/>
    <w:rsid w:val="0077765B"/>
    <w:pPr>
      <w:tabs>
        <w:tab w:val="center" w:pos="4680"/>
        <w:tab w:val="right" w:pos="9360"/>
      </w:tabs>
    </w:pPr>
    <w:rPr>
      <w:rFonts w:cs="Arial"/>
      <w:sz w:val="20"/>
    </w:rPr>
  </w:style>
  <w:style w:type="character" w:customStyle="1" w:styleId="FooterChar">
    <w:name w:val="Footer Char"/>
    <w:basedOn w:val="DefaultParagraphFont"/>
    <w:link w:val="Footer"/>
    <w:uiPriority w:val="29"/>
    <w:rsid w:val="00DE196C"/>
    <w:rPr>
      <w:rFonts w:ascii="Arial" w:hAnsi="Arial"/>
      <w:sz w:val="24"/>
      <w:szCs w:val="24"/>
      <w:lang w:eastAsia="en-US"/>
    </w:rPr>
  </w:style>
  <w:style w:type="paragraph" w:styleId="ListBullet2">
    <w:name w:val="List Bullet 2"/>
    <w:basedOn w:val="ListBullet"/>
    <w:uiPriority w:val="16"/>
    <w:qFormat/>
    <w:rsid w:val="00DE196C"/>
    <w:pPr>
      <w:numPr>
        <w:numId w:val="10"/>
      </w:numPr>
      <w:tabs>
        <w:tab w:val="num" w:pos="360"/>
      </w:tabs>
      <w:suppressAutoHyphens/>
      <w:spacing w:after="0" w:line="240" w:lineRule="exact"/>
      <w:ind w:left="907" w:hanging="187"/>
    </w:pPr>
    <w:rPr>
      <w:rFonts w:ascii="AvenirNext LT Pro Regular" w:eastAsiaTheme="minorEastAsia" w:hAnsi="AvenirNext LT Pro Regular" w:cstheme="minorBidi"/>
      <w:color w:val="1A1A1A"/>
      <w:sz w:val="18"/>
    </w:rPr>
  </w:style>
  <w:style w:type="paragraph" w:styleId="ListBullet">
    <w:name w:val="List Bullet"/>
    <w:basedOn w:val="Normal"/>
    <w:rsid w:val="00DE196C"/>
    <w:pPr>
      <w:tabs>
        <w:tab w:val="num" w:pos="360"/>
      </w:tabs>
      <w:contextualSpacing/>
    </w:pPr>
  </w:style>
  <w:style w:type="character" w:styleId="CommentReference">
    <w:name w:val="annotation reference"/>
    <w:basedOn w:val="DefaultParagraphFont"/>
    <w:rsid w:val="0008726E"/>
    <w:rPr>
      <w:sz w:val="16"/>
      <w:szCs w:val="16"/>
    </w:rPr>
  </w:style>
  <w:style w:type="paragraph" w:styleId="CommentText">
    <w:name w:val="annotation text"/>
    <w:basedOn w:val="Normal"/>
    <w:link w:val="CommentTextChar"/>
    <w:rsid w:val="0008726E"/>
    <w:rPr>
      <w:sz w:val="20"/>
      <w:szCs w:val="20"/>
    </w:rPr>
  </w:style>
  <w:style w:type="character" w:customStyle="1" w:styleId="CommentTextChar">
    <w:name w:val="Comment Text Char"/>
    <w:basedOn w:val="DefaultParagraphFont"/>
    <w:link w:val="CommentText"/>
    <w:rsid w:val="0008726E"/>
    <w:rPr>
      <w:rFonts w:ascii="Arial" w:hAnsi="Arial"/>
      <w:lang w:eastAsia="en-US"/>
    </w:rPr>
  </w:style>
  <w:style w:type="paragraph" w:styleId="CommentSubject">
    <w:name w:val="annotation subject"/>
    <w:basedOn w:val="CommentText"/>
    <w:next w:val="CommentText"/>
    <w:link w:val="CommentSubjectChar"/>
    <w:rsid w:val="0008726E"/>
    <w:rPr>
      <w:b/>
      <w:bCs/>
    </w:rPr>
  </w:style>
  <w:style w:type="character" w:customStyle="1" w:styleId="CommentSubjectChar">
    <w:name w:val="Comment Subject Char"/>
    <w:basedOn w:val="CommentTextChar"/>
    <w:link w:val="CommentSubject"/>
    <w:rsid w:val="0008726E"/>
    <w:rPr>
      <w:rFonts w:ascii="Arial" w:hAnsi="Arial"/>
      <w:b/>
      <w:bCs/>
      <w:lang w:eastAsia="en-US"/>
    </w:rPr>
  </w:style>
  <w:style w:type="paragraph" w:styleId="Revision">
    <w:name w:val="Revision"/>
    <w:hidden/>
    <w:uiPriority w:val="99"/>
    <w:semiHidden/>
    <w:rsid w:val="00416412"/>
    <w:rPr>
      <w:rFonts w:ascii="Arial" w:hAnsi="Arial"/>
      <w:sz w:val="24"/>
      <w:szCs w:val="24"/>
      <w:lang w:eastAsia="en-US"/>
    </w:rPr>
  </w:style>
  <w:style w:type="character" w:styleId="Hyperlink">
    <w:name w:val="Hyperlink"/>
    <w:basedOn w:val="DefaultParagraphFont"/>
    <w:unhideWhenUsed/>
    <w:rsid w:val="00C61118"/>
    <w:rPr>
      <w:color w:val="0000FF" w:themeColor="hyperlink"/>
      <w:u w:val="single"/>
    </w:rPr>
  </w:style>
  <w:style w:type="paragraph" w:styleId="ListParagraph">
    <w:name w:val="List Paragraph"/>
    <w:basedOn w:val="Normal"/>
    <w:uiPriority w:val="34"/>
    <w:qFormat/>
    <w:rsid w:val="008C50B6"/>
    <w:pPr>
      <w:ind w:left="720"/>
      <w:contextualSpacing/>
    </w:pPr>
  </w:style>
  <w:style w:type="paragraph" w:styleId="NormalWeb">
    <w:name w:val="Normal (Web)"/>
    <w:basedOn w:val="Normal"/>
    <w:uiPriority w:val="99"/>
    <w:unhideWhenUsed/>
    <w:rsid w:val="004F2657"/>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4F2657"/>
    <w:rPr>
      <w:b/>
      <w:bCs/>
    </w:rPr>
  </w:style>
  <w:style w:type="character" w:styleId="FollowedHyperlink">
    <w:name w:val="FollowedHyperlink"/>
    <w:basedOn w:val="DefaultParagraphFont"/>
    <w:semiHidden/>
    <w:unhideWhenUsed/>
    <w:rsid w:val="006B30CD"/>
    <w:rPr>
      <w:color w:val="800080" w:themeColor="followedHyperlink"/>
      <w:u w:val="single"/>
    </w:rPr>
  </w:style>
  <w:style w:type="character" w:styleId="UnresolvedMention">
    <w:name w:val="Unresolved Mention"/>
    <w:basedOn w:val="DefaultParagraphFont"/>
    <w:uiPriority w:val="99"/>
    <w:semiHidden/>
    <w:unhideWhenUsed/>
    <w:rsid w:val="00196E64"/>
    <w:rPr>
      <w:color w:val="605E5C"/>
      <w:shd w:val="clear" w:color="auto" w:fill="E1DFDD"/>
    </w:rPr>
  </w:style>
  <w:style w:type="character" w:styleId="Mention">
    <w:name w:val="Mention"/>
    <w:basedOn w:val="DefaultParagraphFont"/>
    <w:uiPriority w:val="99"/>
    <w:unhideWhenUsed/>
    <w:rsid w:val="00290D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transit.com/fr/connectez-vous-avec-go/le-processus-de-demandes-de-renseignements-et-de-retroaction-de-go-transit" TargetMode="External"/><Relationship Id="rId18" Type="http://schemas.openxmlformats.org/officeDocument/2006/relationships/hyperlink" Target="https://www3.ohrc.on.ca/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ohrc.on.ca/fr" TargetMode="External"/><Relationship Id="rId17" Type="http://schemas.openxmlformats.org/officeDocument/2006/relationships/hyperlink" Target="https://www.ontario.ca/lois/loi/90b0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ntario.ca/fr/page/accessibilite-en-ontari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page/accessibilite-en-ontari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etrolinx.com/fr/contactez-nou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bility@metrolinx.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77a868-a5e9-416c-a8bd-70226f3223f8" xsi:nil="true"/>
    <lcf76f155ced4ddcb4097134ff3c332f xmlns="d40b8644-5527-4cc0-86b0-0da1849ef8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DE2D6759CF664AA13382C3D0A27FFB" ma:contentTypeVersion="15" ma:contentTypeDescription="Create a new document." ma:contentTypeScope="" ma:versionID="9a77a52bacab79480db0c1bba3a621fb">
  <xsd:schema xmlns:xsd="http://www.w3.org/2001/XMLSchema" xmlns:xs="http://www.w3.org/2001/XMLSchema" xmlns:p="http://schemas.microsoft.com/office/2006/metadata/properties" xmlns:ns2="d40b8644-5527-4cc0-86b0-0da1849ef84d" xmlns:ns3="4077a868-a5e9-416c-a8bd-70226f3223f8" targetNamespace="http://schemas.microsoft.com/office/2006/metadata/properties" ma:root="true" ma:fieldsID="ff41e68c52dd438a4f46a6e129ad91cf" ns2:_="" ns3:_="">
    <xsd:import namespace="d40b8644-5527-4cc0-86b0-0da1849ef84d"/>
    <xsd:import namespace="4077a868-a5e9-416c-a8bd-70226f3223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8644-5527-4cc0-86b0-0da1849e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3fa943-8e2b-4424-b7ee-0f15c88ffd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7a868-a5e9-416c-a8bd-70226f3223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60ab9-da16-48bd-a502-e500b9ec44dc}" ma:internalName="TaxCatchAll" ma:showField="CatchAllData" ma:web="4077a868-a5e9-416c-a8bd-70226f3223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E8D67-9415-473E-8888-A5BFC59BD11D}">
  <ds:schemaRefs>
    <ds:schemaRef ds:uri="http://schemas.openxmlformats.org/package/2006/metadata/core-properties"/>
    <ds:schemaRef ds:uri="http://schemas.microsoft.com/office/2006/documentManagement/types"/>
    <ds:schemaRef ds:uri="http://www.w3.org/XML/1998/namespace"/>
    <ds:schemaRef ds:uri="http://purl.org/dc/dcmitype/"/>
    <ds:schemaRef ds:uri="4077a868-a5e9-416c-a8bd-70226f3223f8"/>
    <ds:schemaRef ds:uri="http://schemas.microsoft.com/office/infopath/2007/PartnerControls"/>
    <ds:schemaRef ds:uri="d40b8644-5527-4cc0-86b0-0da1849ef84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FA38735-96BC-4DBF-AEA5-8458E0A2DB17}">
  <ds:schemaRefs>
    <ds:schemaRef ds:uri="http://schemas.openxmlformats.org/officeDocument/2006/bibliography"/>
  </ds:schemaRefs>
</ds:datastoreItem>
</file>

<file path=customXml/itemProps3.xml><?xml version="1.0" encoding="utf-8"?>
<ds:datastoreItem xmlns:ds="http://schemas.openxmlformats.org/officeDocument/2006/customXml" ds:itemID="{BFDD26FC-64CA-463F-A607-E69AFC2C848F}">
  <ds:schemaRefs>
    <ds:schemaRef ds:uri="http://schemas.microsoft.com/sharepoint/v3/contenttype/forms"/>
  </ds:schemaRefs>
</ds:datastoreItem>
</file>

<file path=customXml/itemProps4.xml><?xml version="1.0" encoding="utf-8"?>
<ds:datastoreItem xmlns:ds="http://schemas.openxmlformats.org/officeDocument/2006/customXml" ds:itemID="{F24CEC0D-110B-4627-AD48-1A653EBC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8644-5527-4cc0-86b0-0da1849ef84d"/>
    <ds:schemaRef ds:uri="4077a868-a5e9-416c-a8bd-70226f322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2248</Words>
  <Characters>13074</Characters>
  <Application>Microsoft Office Word</Application>
  <DocSecurity>0</DocSecurity>
  <Lines>278</Lines>
  <Paragraphs>162</Paragraphs>
  <ScaleCrop>false</ScaleCrop>
  <HeadingPairs>
    <vt:vector size="2" baseType="variant">
      <vt:variant>
        <vt:lpstr>Title</vt:lpstr>
      </vt:variant>
      <vt:variant>
        <vt:i4>1</vt:i4>
      </vt:variant>
    </vt:vector>
  </HeadingPairs>
  <TitlesOfParts>
    <vt:vector size="1" baseType="lpstr">
      <vt:lpstr>CO-0202-01 Service Animal Policy (French)</vt:lpstr>
    </vt:vector>
  </TitlesOfParts>
  <Manager>Manager Accessibility &amp; AODA, Universal Design and Wayfinding</Manager>
  <Company>Metrolinx</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CO-0202-01 Service Animal Policy (French)</dc:title>
  <dc:subject>Policy Topic (e.g. Self-Funded Leave of Absence) </dc:subject>
  <dc:creator>Michael Derbecker - Technical Writer</dc:creator>
  <dc:description>March 3, 2026</dc:description>
  <cp:lastModifiedBy>Beverly Kiez</cp:lastModifiedBy>
  <cp:revision>3</cp:revision>
  <cp:lastPrinted>2025-06-19T16:40:00Z</cp:lastPrinted>
  <dcterms:created xsi:type="dcterms:W3CDTF">2026-05-13T14:08:00Z</dcterms:created>
  <dcterms:modified xsi:type="dcterms:W3CDTF">2026-05-13T14:10:00Z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91af9aba6844d6d841e3c0c90037e95">
    <vt:lpwstr>Active|a9ffb86d-c7b5-428e-8609-7d24484c581a</vt:lpwstr>
  </property>
  <property fmtid="{D5CDD505-2E9C-101B-9397-08002B2CF9AE}" pid="3" name="ContentTypeId">
    <vt:lpwstr>0x010100FADE2D6759CF664AA13382C3D0A27FFB</vt:lpwstr>
  </property>
  <property fmtid="{D5CDD505-2E9C-101B-9397-08002B2CF9AE}" pid="4" name="GrammarlyDocumentId">
    <vt:lpwstr>0c48a596-8873-43fc-b5c8-776ee2cef929</vt:lpwstr>
  </property>
  <property fmtid="{D5CDD505-2E9C-101B-9397-08002B2CF9AE}" pid="5" name="Issue Date">
    <vt:lpwstr>Month, Day, Year</vt:lpwstr>
  </property>
  <property fmtid="{D5CDD505-2E9C-101B-9397-08002B2CF9AE}" pid="6" name="Manual Code">
    <vt:lpwstr>300WP</vt:lpwstr>
  </property>
  <property fmtid="{D5CDD505-2E9C-101B-9397-08002B2CF9AE}" pid="7" name="Manual Name">
    <vt:lpwstr>Division Name (e.g. Human Resources)</vt:lpwstr>
  </property>
  <property fmtid="{D5CDD505-2E9C-101B-9397-08002B2CF9AE}" pid="8" name="MediaServiceImageTags">
    <vt:lpwstr/>
  </property>
  <property fmtid="{D5CDD505-2E9C-101B-9397-08002B2CF9AE}" pid="9" name="nae6283d591343e89e2143b9627a24c3">
    <vt:lpwstr>PP-MX-2200 Directives and Operating Policies|58f5be78-7587-46f7-a1a4-47e1eb898f31</vt:lpwstr>
  </property>
  <property fmtid="{D5CDD505-2E9C-101B-9397-08002B2CF9AE}" pid="10" name="Policy Number">
    <vt:lpwstr>XX-0000-00</vt:lpwstr>
  </property>
  <property fmtid="{D5CDD505-2E9C-101B-9397-08002B2CF9AE}" pid="11" name="RecordSeries">
    <vt:lpwstr>5;#PP-MX-2200 Directives and Operating Policies|58f5be78-7587-46f7-a1a4-47e1eb898f31</vt:lpwstr>
  </property>
  <property fmtid="{D5CDD505-2E9C-101B-9397-08002B2CF9AE}" pid="12" name="RecordStatus">
    <vt:lpwstr>2;#Active|a9ffb86d-c7b5-428e-8609-7d24484c581a</vt:lpwstr>
  </property>
  <property fmtid="{D5CDD505-2E9C-101B-9397-08002B2CF9AE}" pid="13" name="Section">
    <vt:lpwstr>Corporate Policy Section (e.g. Employee Benefits)</vt:lpwstr>
  </property>
  <property fmtid="{D5CDD505-2E9C-101B-9397-08002B2CF9AE}" pid="14" name="Subject">
    <vt:lpwstr>Policy Topic (e.g. Self-Funded Leave of Absence) </vt:lpwstr>
  </property>
  <property fmtid="{D5CDD505-2E9C-101B-9397-08002B2CF9AE}" pid="15" name="Tab Name">
    <vt:lpwstr>Your Departmental Procedures</vt:lpwstr>
  </property>
  <property fmtid="{D5CDD505-2E9C-101B-9397-08002B2CF9AE}" pid="16" name="Tab Number">
    <vt:lpwstr>1</vt:lpwstr>
  </property>
  <property fmtid="{D5CDD505-2E9C-101B-9397-08002B2CF9AE}" pid="17" name="TaxCatchAll">
    <vt:lpwstr>5;#PP-MX-2200 Directives and Operating Policies|58f5be78-7587-46f7-a1a4-47e1eb898f31;#2;#Active|a9ffb86d-c7b5-428e-8609-7d24484c581a</vt:lpwstr>
  </property>
</Properties>
</file>